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FF" w:rsidRDefault="008F18B2">
      <w:pPr>
        <w:spacing w:after="0"/>
        <w:rPr>
          <w:rFonts w:ascii="Times New Roman" w:hAnsi="Times New Roman" w:cs="Times New Roman"/>
          <w:sz w:val="28"/>
          <w:szCs w:val="28"/>
        </w:rPr>
      </w:pPr>
      <w:r>
        <w:rPr>
          <w:noProof/>
        </w:rPr>
        <w:drawing>
          <wp:anchor distT="0" distB="0" distL="0" distR="0" simplePos="0" relativeHeight="2" behindDoc="0" locked="0" layoutInCell="0" allowOverlap="1">
            <wp:simplePos x="0" y="0"/>
            <wp:positionH relativeFrom="page">
              <wp:posOffset>0</wp:posOffset>
            </wp:positionH>
            <wp:positionV relativeFrom="page">
              <wp:posOffset>0</wp:posOffset>
            </wp:positionV>
            <wp:extent cx="2924175" cy="36004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924175" cy="360045"/>
                    </a:xfrm>
                    <a:prstGeom prst="rect">
                      <a:avLst/>
                    </a:prstGeom>
                  </pic:spPr>
                </pic:pic>
              </a:graphicData>
            </a:graphic>
          </wp:anchor>
        </w:drawing>
      </w:r>
      <w:r>
        <w:rPr>
          <w:rFonts w:ascii="Times New Roman" w:hAnsi="Times New Roman" w:cs="Times New Roman"/>
          <w:sz w:val="28"/>
          <w:szCs w:val="28"/>
        </w:rPr>
        <w:t xml:space="preserve">            </w:t>
      </w:r>
    </w:p>
    <w:p w:rsidR="00B21DFF" w:rsidRDefault="008F18B2">
      <w:pPr>
        <w:spacing w:after="0"/>
        <w:jc w:val="center"/>
        <w:rPr>
          <w:rFonts w:ascii="Times New Roman" w:hAnsi="Times New Roman" w:cs="Times New Roman"/>
          <w:sz w:val="28"/>
          <w:szCs w:val="28"/>
        </w:rPr>
      </w:pPr>
      <w:r>
        <w:rPr>
          <w:rFonts w:ascii="Times New Roman" w:hAnsi="Times New Roman" w:cs="Times New Roman"/>
          <w:sz w:val="28"/>
          <w:szCs w:val="28"/>
        </w:rPr>
        <w:t>КОНТРОЛЬНО-СЧЕТНАЯ ПАЛАТА МУНИЦИПАЛЬНОГО ОБРАЗОВАНИЯ АКБУЛАКСКИЙ РАЙОН ОРЕНБУРГСКОЙ ОБЛАСТИ</w:t>
      </w:r>
    </w:p>
    <w:p w:rsidR="00B21DFF" w:rsidRDefault="008F18B2">
      <w:pPr>
        <w:spacing w:after="0"/>
        <w:jc w:val="center"/>
        <w:rPr>
          <w:rFonts w:ascii="Times New Roman" w:hAnsi="Times New Roman" w:cs="Times New Roman"/>
        </w:rPr>
      </w:pPr>
      <w:r>
        <w:rPr>
          <w:rFonts w:ascii="Times New Roman" w:hAnsi="Times New Roman" w:cs="Times New Roman"/>
        </w:rPr>
        <w:t>ул.Комсомольская, 15, поселок Акбулак, Оренбургская область 461550 те/факс (35335)</w:t>
      </w:r>
    </w:p>
    <w:p w:rsidR="00B21DFF" w:rsidRDefault="008F18B2">
      <w:pPr>
        <w:spacing w:after="0"/>
        <w:jc w:val="center"/>
        <w:rPr>
          <w:rStyle w:val="a3"/>
          <w:rFonts w:ascii="Times New Roman" w:hAnsi="Times New Roman" w:cs="Times New Roman"/>
        </w:rPr>
      </w:pPr>
      <w:r>
        <w:rPr>
          <w:rFonts w:ascii="Times New Roman" w:hAnsi="Times New Roman" w:cs="Times New Roman"/>
        </w:rPr>
        <w:t>2-20-96, 2-11-40 Е-</w:t>
      </w:r>
      <w:r>
        <w:rPr>
          <w:rFonts w:ascii="Times New Roman" w:hAnsi="Times New Roman" w:cs="Times New Roman"/>
          <w:lang w:val="en-US"/>
        </w:rPr>
        <w:t>mail</w:t>
      </w:r>
      <w:r>
        <w:rPr>
          <w:rFonts w:ascii="Times New Roman" w:hAnsi="Times New Roman" w:cs="Times New Roman"/>
        </w:rPr>
        <w:t xml:space="preserve">: </w:t>
      </w:r>
      <w:hyperlink r:id="rId9">
        <w:r>
          <w:rPr>
            <w:rStyle w:val="a3"/>
            <w:rFonts w:ascii="Times New Roman" w:hAnsi="Times New Roman" w:cs="Times New Roman"/>
            <w:lang w:val="en-US"/>
          </w:rPr>
          <w:t>kspakbulak</w:t>
        </w:r>
        <w:r>
          <w:rPr>
            <w:rStyle w:val="a3"/>
            <w:rFonts w:ascii="Times New Roman" w:hAnsi="Times New Roman" w:cs="Times New Roman"/>
          </w:rPr>
          <w:t>@</w:t>
        </w:r>
        <w:r>
          <w:rPr>
            <w:rStyle w:val="a3"/>
            <w:rFonts w:ascii="Times New Roman" w:hAnsi="Times New Roman" w:cs="Times New Roman"/>
            <w:lang w:val="en-US"/>
          </w:rPr>
          <w:t>mail</w:t>
        </w:r>
        <w:r>
          <w:rPr>
            <w:rStyle w:val="a3"/>
            <w:rFonts w:ascii="Times New Roman" w:hAnsi="Times New Roman" w:cs="Times New Roman"/>
          </w:rPr>
          <w:t>.</w:t>
        </w:r>
        <w:r>
          <w:rPr>
            <w:rStyle w:val="a3"/>
            <w:rFonts w:ascii="Times New Roman" w:hAnsi="Times New Roman" w:cs="Times New Roman"/>
            <w:lang w:val="en-US"/>
          </w:rPr>
          <w:t>ru</w:t>
        </w:r>
      </w:hyperlink>
    </w:p>
    <w:p w:rsidR="00B21DFF" w:rsidRDefault="00B21DFF">
      <w:pPr>
        <w:spacing w:after="0"/>
        <w:jc w:val="center"/>
        <w:rPr>
          <w:rFonts w:ascii="Times New Roman" w:hAnsi="Times New Roman" w:cs="Times New Roman"/>
        </w:rPr>
      </w:pPr>
    </w:p>
    <w:p w:rsidR="00B21DFF" w:rsidRDefault="008F18B2">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ЗАКЛЮЧЕНИЕ № 1 от 25 апреля 2024</w:t>
      </w:r>
    </w:p>
    <w:p w:rsidR="00B21DFF" w:rsidRDefault="008F18B2">
      <w:pPr>
        <w:spacing w:after="0"/>
        <w:jc w:val="both"/>
        <w:rPr>
          <w:rFonts w:ascii="Times New Roman" w:hAnsi="Times New Roman" w:cs="Times New Roman"/>
          <w:b/>
          <w:sz w:val="28"/>
          <w:szCs w:val="28"/>
        </w:rPr>
      </w:pPr>
      <w:r>
        <w:rPr>
          <w:rFonts w:ascii="Times New Roman" w:hAnsi="Times New Roman" w:cs="Times New Roman"/>
          <w:b/>
          <w:sz w:val="28"/>
          <w:szCs w:val="28"/>
        </w:rPr>
        <w:t>по результатам проведения внешней проверки годового отчета об исполнении местного бюджета Акбулакского района  за 2023 год.</w:t>
      </w:r>
    </w:p>
    <w:p w:rsidR="00B21DFF" w:rsidRDefault="008F18B2">
      <w:pPr>
        <w:spacing w:after="0"/>
        <w:jc w:val="both"/>
        <w:rPr>
          <w:rFonts w:ascii="Times New Roman" w:hAnsi="Times New Roman" w:cs="Times New Roman"/>
          <w:sz w:val="28"/>
          <w:szCs w:val="28"/>
        </w:rPr>
      </w:pPr>
      <w:r>
        <w:rPr>
          <w:rFonts w:ascii="Times New Roman" w:hAnsi="Times New Roman" w:cs="Times New Roman"/>
          <w:b/>
          <w:sz w:val="28"/>
          <w:szCs w:val="28"/>
        </w:rPr>
        <w:tab/>
        <w:t>Основание  для проведения проверки:</w:t>
      </w:r>
      <w:r>
        <w:rPr>
          <w:rFonts w:ascii="Times New Roman" w:hAnsi="Times New Roman" w:cs="Times New Roman"/>
          <w:sz w:val="28"/>
          <w:szCs w:val="28"/>
        </w:rPr>
        <w:t xml:space="preserve"> Бюджетный кодекс Российской Федерации, решения Совета депутатов муниципального образования Акбулакский район от 22.12.2021 № 89 «Об утверждении Положения о Контрольно-счетной палате муниципального образования Акбулакский район», решение от 19.06.2023 № 228  «Положение о бюджетном процессе в муниципальном образовании Акбулакский район»,  план работы Контрольно-счетной  палаты  муниципального образования Акбулакский район на 2024год.</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Цель проверки: </w:t>
      </w:r>
      <w:r>
        <w:rPr>
          <w:rFonts w:ascii="Times New Roman" w:hAnsi="Times New Roman" w:cs="Times New Roman"/>
          <w:sz w:val="28"/>
          <w:szCs w:val="28"/>
        </w:rPr>
        <w:t>определение соответствия  бюджетной отчетности  об исполнении местного бюджета муниципального образования требованиям правовых актов по сроку представления, составу и содержанию. Выявление факторов, способных негативно повлиять на достоверность показателей  бюджетной отчетности.</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установление  соответствия фактического исполнения бюджета его плановым назначениям, установленным решениями Совета депутатов муниципального образования Акбулакский район;</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оценка ответственности главного распорядителя средств местного бюджета за результаты исполнения бюджета в пределах утверждённых ассигнований, осуществление контроля за поступлением платежей в бюджет по администрируемым доходам, обеспечение в конечном итоге результативности использования бюджетных средств.</w:t>
      </w:r>
    </w:p>
    <w:p w:rsidR="00B21DFF" w:rsidRDefault="008F18B2">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Объект проверки: </w:t>
      </w:r>
      <w:r>
        <w:rPr>
          <w:rFonts w:ascii="Times New Roman" w:hAnsi="Times New Roman" w:cs="Times New Roman"/>
          <w:sz w:val="28"/>
          <w:szCs w:val="28"/>
        </w:rPr>
        <w:t>Финансовый отдел администрации муниципального образования Акбулакский район</w:t>
      </w:r>
      <w:r>
        <w:rPr>
          <w:rFonts w:ascii="Times New Roman" w:hAnsi="Times New Roman" w:cs="Times New Roman"/>
          <w:b/>
          <w:sz w:val="28"/>
          <w:szCs w:val="28"/>
        </w:rPr>
        <w:t>.</w:t>
      </w:r>
    </w:p>
    <w:p w:rsidR="00B21DFF" w:rsidRDefault="008F18B2">
      <w:pPr>
        <w:spacing w:after="0"/>
        <w:jc w:val="both"/>
        <w:rPr>
          <w:rFonts w:ascii="Times New Roman" w:hAnsi="Times New Roman" w:cs="Times New Roman"/>
          <w:sz w:val="28"/>
          <w:szCs w:val="28"/>
        </w:rPr>
      </w:pPr>
      <w:r>
        <w:rPr>
          <w:rFonts w:ascii="Times New Roman" w:hAnsi="Times New Roman" w:cs="Times New Roman"/>
          <w:b/>
          <w:sz w:val="28"/>
          <w:szCs w:val="28"/>
        </w:rPr>
        <w:tab/>
        <w:t xml:space="preserve">Предмет проверки: </w:t>
      </w:r>
      <w:r>
        <w:rPr>
          <w:rFonts w:ascii="Times New Roman" w:hAnsi="Times New Roman" w:cs="Times New Roman"/>
          <w:sz w:val="28"/>
          <w:szCs w:val="28"/>
        </w:rPr>
        <w:t>годовой отчёт об исполнении бюджета муниципального образования Акбулакский район за 2023 год, бюджетная отчетность главных администраторов бюджетных средств за  2023 год.</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Проверяемый период</w:t>
      </w:r>
      <w:r>
        <w:rPr>
          <w:rFonts w:ascii="Times New Roman" w:hAnsi="Times New Roman" w:cs="Times New Roman"/>
          <w:sz w:val="28"/>
          <w:szCs w:val="28"/>
        </w:rPr>
        <w:t>: 2023 год.</w:t>
      </w:r>
    </w:p>
    <w:p w:rsidR="00B21DFF" w:rsidRDefault="008F18B2">
      <w:pPr>
        <w:spacing w:after="0"/>
        <w:jc w:val="both"/>
        <w:rPr>
          <w:rFonts w:ascii="Times New Roman" w:hAnsi="Times New Roman" w:cs="Times New Roman"/>
          <w:sz w:val="28"/>
          <w:szCs w:val="28"/>
        </w:rPr>
      </w:pPr>
      <w:r>
        <w:rPr>
          <w:rFonts w:ascii="Times New Roman" w:hAnsi="Times New Roman" w:cs="Times New Roman"/>
          <w:b/>
          <w:sz w:val="28"/>
          <w:szCs w:val="28"/>
        </w:rPr>
        <w:tab/>
        <w:t xml:space="preserve">Сроки проведения проверки: </w:t>
      </w:r>
      <w:r>
        <w:rPr>
          <w:rFonts w:ascii="Times New Roman" w:hAnsi="Times New Roman" w:cs="Times New Roman"/>
          <w:sz w:val="28"/>
          <w:szCs w:val="28"/>
        </w:rPr>
        <w:t>с  01апреля  по 27 апреля  2024 года.</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Руководитель и исполнитель проверки: </w:t>
      </w:r>
      <w:r>
        <w:rPr>
          <w:rFonts w:ascii="Times New Roman" w:hAnsi="Times New Roman" w:cs="Times New Roman"/>
          <w:sz w:val="28"/>
          <w:szCs w:val="28"/>
        </w:rPr>
        <w:t xml:space="preserve"> председатель Контрольно-счетной палаты муниципального образования Акбулакский район Оренбургской области  А.Ф.Щербаненко.</w:t>
      </w:r>
    </w:p>
    <w:p w:rsidR="00B21DFF" w:rsidRDefault="008F18B2">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Ответственными  должностными  лица являются:</w:t>
      </w:r>
    </w:p>
    <w:p w:rsidR="00B21DFF" w:rsidRDefault="008F18B2">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Глава муниципального образования Акбулакский район Пирогов Виктор Викторович  с 17.11.2020 года, на основании Решения Совета депутатов № 28 от 17.11.2020 года, распоряжения № 87 лс от 17.11.2020 по настоящее время.</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Заместитель главы администрации по вопросам  экономики - начальник финансового отдела администрации  Акбулакского района  Ларюшина Эльвира Ахатовна  весь проверяемый период, на основании распоряжения № 15 лс от 22.01.2010 по 05.02.2023 года, с 06.02.2023 года назначена на должность заместителя главы администрации по вопросам экономики на основании распоряжения № 6 лс от 06.02.2023 года;</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заместитель начальника финансового отдела - начальник бюджетного отдела  финансового отдела администрации Акбулакского района Еремина Татьяна Леонидовна с 01.01.2023 по настоящее время;</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начальник отдела бухгалтерского учета и отчетности по бюджету,  финансового отдела администрации Акбулакского района, имеющая право второй подписи с  23.11.2011 года, на основании приказа № 15 лс от 23.11.2011 года по настоящее время - Прокофьева Наталья Владимировна;</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начальник  отдела бухгалтерского учета и отчетности администрации муниципального образования Акбулакский район Демехина Оксана Геннадьевна весь проверяемый период.</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Предоставление затребованных документов и информации</w:t>
      </w:r>
      <w:r>
        <w:rPr>
          <w:rFonts w:ascii="Times New Roman" w:hAnsi="Times New Roman" w:cs="Times New Roman"/>
          <w:sz w:val="28"/>
          <w:szCs w:val="28"/>
        </w:rPr>
        <w:t>: препятствий в проведении проверки отмечено не было.</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Адрес:</w:t>
      </w:r>
      <w:r>
        <w:rPr>
          <w:rFonts w:ascii="Times New Roman" w:hAnsi="Times New Roman" w:cs="Times New Roman"/>
          <w:sz w:val="28"/>
          <w:szCs w:val="28"/>
        </w:rPr>
        <w:t xml:space="preserve"> 461550, Оренбургская область, п.Акбулак, ул.Комсомольская,15; телефон: 8 (35335) 2-11-92, 2-39-75, 2-21-54.</w:t>
      </w:r>
    </w:p>
    <w:p w:rsidR="00B21DFF" w:rsidRDefault="008F18B2">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Перечень законодательных и других нормативных правовых актов:</w:t>
      </w:r>
    </w:p>
    <w:p w:rsidR="00B21DFF" w:rsidRDefault="008F18B2">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Бюджетный кодекс Российской Федерации;</w:t>
      </w:r>
    </w:p>
    <w:p w:rsidR="00B21DFF" w:rsidRDefault="008F18B2">
      <w:pPr>
        <w:spacing w:after="0"/>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Федеральный закон от 06.12.2011 № 402-ФЗ «О бухгалтерском учете» (ред. от 31.12.2017 № 481-ФЗ);</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Закон Оренбургской области от  30.11.2005 № 2738/499-</w:t>
      </w:r>
      <w:r>
        <w:rPr>
          <w:rFonts w:ascii="Times New Roman" w:hAnsi="Times New Roman" w:cs="Times New Roman"/>
          <w:sz w:val="28"/>
          <w:szCs w:val="28"/>
          <w:lang w:val="en-US"/>
        </w:rPr>
        <w:t>III</w:t>
      </w:r>
      <w:r>
        <w:rPr>
          <w:rFonts w:ascii="Times New Roman" w:hAnsi="Times New Roman" w:cs="Times New Roman"/>
          <w:sz w:val="28"/>
          <w:szCs w:val="28"/>
        </w:rPr>
        <w:t>-ОЗ «О межбюджетных отношениях в Оренбургской области»;</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Закон Оренбургской области от 26.12.2013 № 2093/597-</w:t>
      </w:r>
      <w:r>
        <w:rPr>
          <w:rFonts w:ascii="Times New Roman" w:hAnsi="Times New Roman" w:cs="Times New Roman"/>
          <w:sz w:val="28"/>
          <w:szCs w:val="28"/>
          <w:lang w:val="en-US"/>
        </w:rPr>
        <w:t>V</w:t>
      </w:r>
      <w:r>
        <w:rPr>
          <w:rFonts w:ascii="Times New Roman" w:hAnsi="Times New Roman" w:cs="Times New Roman"/>
          <w:sz w:val="28"/>
          <w:szCs w:val="28"/>
        </w:rPr>
        <w:t>-ОЗ «О бюджетном процессе в  Оренбургской области»;</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Приказ Минфина России от 01.12.2010 № 157 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Pr>
          <w:rFonts w:ascii="Times New Roman" w:hAnsi="Times New Roman" w:cs="Times New Roman"/>
          <w:sz w:val="28"/>
          <w:szCs w:val="28"/>
        </w:rPr>
        <w:lastRenderedPageBreak/>
        <w:t>академий наук, государственных (муниципальных) учреждений и инструкции по его применению (ред.от27.09.2017 № 148 н);</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Приказ Минфина России от 16.12.2010 № 162 н «Об утверждении плана счетов бюджетного учёта и инструкции по его применению» (ред. от 31.10.2017 № 172 н);</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28.10.2010 № 191н;</w:t>
      </w:r>
    </w:p>
    <w:p w:rsidR="00B21DFF" w:rsidRDefault="008F18B2">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Решение Совета депутатов муниципального образования Акбулакский район от 19.06.2023 № 228 «Положение о бюджетном процессе в муниципальном образовании Акбулакский район»( далее – Положение о бюджетном процессе);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Решение Совета депутатов муниципального образования Акбулакский район от 22.12.2022 № 170 «О бюджете муниципального образования Акбулакский район на 2023 год и на плановый период 2024 и 2025 годов».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Решение Совета депутатов муниципального образования Акбулакский район от 22.03.2023 № 197  «О внесении изменений и дополнений в решение Совета депутатов от 22.12.2022 № 170 «О бюджете муниципального образования Акбулакский район на 2023 год и на плановый период 2024 и 2025годов».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Решение Совета депутатов муниципального образования Акбулакский район от 19.06.2023  № 222  «О внесении изменений и дополнений в решение Совета депутатов от 22.12.2022 №  170 «О бюджете муниципального образования Акбулакский район на 2023 год и на плановый период 2024 и 2025 годов».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Решение Совета депутатов муниципального образования Акбулакский район от 20.09.2023  № 245  «О внесении изменений и дополнений в решение Совета депутатов от 22.12.2022 №  170 «О бюджете муниципального образования Акбулакский район на 2023 год и на плановый период 2024 и 2025 годов».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Решение Совета депутатов муниципального образования Акбулакский район от 22.12.2023 № 263 «О внесении изменений и дополнений в решение Совета депутатов от 22.12.2022 № 170 «О бюджете муниципального образования Акбулакский район на 2023 год и на плановый период 2024 и 2025 годов».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Муниципальное образование Акбулакский район Оренбургской области образовано 23 августа 2000 года в соответствии с Законом Оренбургской области  от 31.07.2000 № 599/152-ОЗ «Об образовании муниципального </w:t>
      </w:r>
      <w:r>
        <w:rPr>
          <w:rFonts w:ascii="Times New Roman" w:hAnsi="Times New Roman" w:cs="Times New Roman"/>
          <w:sz w:val="28"/>
          <w:szCs w:val="28"/>
        </w:rPr>
        <w:lastRenderedPageBreak/>
        <w:t>образования Акбулакский район Оренбургской области и установлении его границ».</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Законом Оренбургской области от 30.04.2004 № 1095/158-III –ОЗ «О наделении муниципальных образований Оренбургской области статусом муниципального района и  об установлении их границ» муниципальное образование Акбулакский район Оренбургской области (далее – муниципальное образование Акбулакский район) наделено статусом муниципального района.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Согласно приказу министерства финансов Оренбургской области от 05.10.2020 № 218 «Об утверждении перечней муниципальных образований, распределенных в соответствии  со статьей 136 Бюджетного кодекса Российской Федерации, на 2023 год»  муниципальное образование Акбулакский район включено в перечень муниципальных районов, в которых доля доходов, указанных в пункте 4 статьи 136 Бюджетного кодекса Российской Федерации ( далее – Бюджетный кодекс РФ), превышала 50 процентов.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Администрация Акбулакского района   в соответствии с  заключенными договорами осуществляет ведение бухгалтерского учета трех учреждений: МКУ «Отдел хозяйственного обеспечения», Контрольно-счетная палата, администрация Акбулакского района.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Финансовый отдел администрации Акбулакского района Оренбургской области ( далее – Финансовый отдел) и Администрация Акбулакского района осуществляют ведение бухгалтерского учета самостоятельно.</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Отчет об исполнении местного бюджета за 2023 год представлен Финансовым отделом в Контрольно-счетную палату письмом  от 29.03.2024 № 01-15-94, что соответствует Бюджетному законодательству.</w:t>
      </w:r>
    </w:p>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center"/>
        <w:rPr>
          <w:rFonts w:ascii="Times New Roman" w:hAnsi="Times New Roman" w:cs="Times New Roman"/>
          <w:b/>
          <w:sz w:val="28"/>
          <w:szCs w:val="28"/>
        </w:rPr>
      </w:pPr>
      <w:r>
        <w:rPr>
          <w:rFonts w:ascii="Times New Roman" w:hAnsi="Times New Roman" w:cs="Times New Roman"/>
          <w:b/>
          <w:sz w:val="28"/>
          <w:szCs w:val="28"/>
        </w:rPr>
        <w:t>Общие параметры исполнения бюджета муниципального образования Акбулакский район и макроэкономических показателей</w:t>
      </w:r>
    </w:p>
    <w:p w:rsidR="00B21DFF" w:rsidRDefault="00B21DFF">
      <w:pPr>
        <w:tabs>
          <w:tab w:val="left" w:pos="-426"/>
        </w:tabs>
        <w:spacing w:after="0"/>
        <w:jc w:val="both"/>
        <w:rPr>
          <w:rFonts w:ascii="Times New Roman" w:hAnsi="Times New Roman" w:cs="Times New Roman"/>
          <w:b/>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ходе контрольного мероприятия  использованы данные сайта Администрации Акбулакского района (</w:t>
      </w:r>
      <w:r>
        <w:rPr>
          <w:rFonts w:ascii="Times New Roman" w:hAnsi="Times New Roman" w:cs="Times New Roman"/>
          <w:sz w:val="28"/>
          <w:szCs w:val="28"/>
          <w:lang w:val="en-US"/>
        </w:rPr>
        <w:t>http</w:t>
      </w:r>
      <w:r>
        <w:rPr>
          <w:rFonts w:ascii="Times New Roman" w:hAnsi="Times New Roman" w:cs="Times New Roman"/>
          <w:sz w:val="28"/>
          <w:szCs w:val="28"/>
        </w:rPr>
        <w:t>: //</w:t>
      </w:r>
      <w:r>
        <w:rPr>
          <w:rFonts w:ascii="Times New Roman" w:hAnsi="Times New Roman" w:cs="Times New Roman"/>
          <w:sz w:val="28"/>
          <w:szCs w:val="28"/>
          <w:lang w:val="en-US"/>
        </w:rPr>
        <w:t>mo</w:t>
      </w:r>
      <w:r>
        <w:rPr>
          <w:rFonts w:ascii="Times New Roman" w:hAnsi="Times New Roman" w:cs="Times New Roman"/>
          <w:sz w:val="28"/>
          <w:szCs w:val="28"/>
        </w:rPr>
        <w:t>-</w:t>
      </w:r>
      <w:r>
        <w:rPr>
          <w:rFonts w:ascii="Times New Roman" w:hAnsi="Times New Roman" w:cs="Times New Roman"/>
          <w:sz w:val="28"/>
          <w:szCs w:val="28"/>
          <w:lang w:val="en-US"/>
        </w:rPr>
        <w:t>ak</w:t>
      </w:r>
      <w:r>
        <w:rPr>
          <w:rFonts w:ascii="Times New Roman" w:hAnsi="Times New Roman" w:cs="Times New Roman"/>
          <w:sz w:val="28"/>
          <w:szCs w:val="28"/>
        </w:rPr>
        <w:t>.</w:t>
      </w:r>
      <w:r>
        <w:rPr>
          <w:rFonts w:ascii="Times New Roman" w:hAnsi="Times New Roman" w:cs="Times New Roman"/>
          <w:sz w:val="28"/>
          <w:szCs w:val="28"/>
          <w:lang w:val="en-US"/>
        </w:rPr>
        <w:t>orb</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7 Положения о  бюджетном процессе Финансовый отдел организует и составляет проект районного бюджета, представляет его в Администрацию Акбулакского района, принимает участие  в  разработке прогноза консолидированного бюджета района. Согласно положениям статьи 6 Положения о бюджетном процессе Администрация </w:t>
      </w:r>
      <w:r>
        <w:rPr>
          <w:rFonts w:ascii="Times New Roman" w:hAnsi="Times New Roman" w:cs="Times New Roman"/>
          <w:sz w:val="28"/>
          <w:szCs w:val="28"/>
        </w:rPr>
        <w:lastRenderedPageBreak/>
        <w:t>Акбулакского района утверждает порядок и сроки составления проекта районного бюджета, обеспечивает составление проекта районного бюджета для его  представления главой района в Совет  депутатов Акбулакского района (далее- Совет депутатов).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Решением Совета депутатов от 22.12.2022 № 170 «О бюджете муниципального образования Акбулакский район на 2023 год и на плановый период 2024 и 2025 годов» утверждены основные  характеристики бюджета муниципального образования на 2023 в размерах:</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общий объем доходов –  903150,6тыс.рублей;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общий объем расходов – 903150,6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дефицит – 0,0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-верхний предел муниципального внутреннего долга Акбулакского района  на 1 января 2023 года – 0,0 тыс.рублей, в том числе верхний предел долга по муниципальным гарантиям – 0,0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течение 2023 года решениями Совета депутатов от 22.03.2023 № 197, от 19.06.2023 № 222, от 20.09.2023 № 245, от 20.12.2023 № 263, внесены 4 изменения и дополнения по уточнению показателей объемов доходов и расходов бюджета.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Информация по первоначальным и уточненным показателям объемов доходов за 2023 год представлена в таблице (тыс.рублей)</w:t>
      </w:r>
    </w:p>
    <w:tbl>
      <w:tblPr>
        <w:tblStyle w:val="af"/>
        <w:tblW w:w="9571" w:type="dxa"/>
        <w:tblLayout w:type="fixed"/>
        <w:tblLook w:val="04A0" w:firstRow="1" w:lastRow="0" w:firstColumn="1" w:lastColumn="0" w:noHBand="0" w:noVBand="1"/>
      </w:tblPr>
      <w:tblGrid>
        <w:gridCol w:w="5512"/>
        <w:gridCol w:w="1126"/>
        <w:gridCol w:w="1116"/>
        <w:gridCol w:w="1105"/>
        <w:gridCol w:w="712"/>
      </w:tblGrid>
      <w:tr w:rsidR="00B21DFF">
        <w:tc>
          <w:tcPr>
            <w:tcW w:w="551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зачисляемые в бюджет</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муниципального образования Акбулакский</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район</w:t>
            </w:r>
          </w:p>
        </w:tc>
        <w:tc>
          <w:tcPr>
            <w:tcW w:w="112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от</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22.12.2022</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170</w:t>
            </w:r>
          </w:p>
        </w:tc>
        <w:tc>
          <w:tcPr>
            <w:tcW w:w="111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от 20.12.2023</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263</w:t>
            </w:r>
          </w:p>
        </w:tc>
        <w:tc>
          <w:tcPr>
            <w:tcW w:w="1105"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Сумма</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уточнения</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доходов</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гр.3-гр.2</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1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НАЛОГОВЫЕ и НЕНАЛОГОВЫЕ ДОХОДЫ</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101605,9</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102178,3</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572,4</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100,6</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Налог  на доходы физических лиц</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78753,8</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78753,8</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Налоги на совокупный доход</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14189,6</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14850,6</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661,0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104,6</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Государственная пошлина</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2919,0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2919,0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Доходы от использования имущ-ва, находящегося в гос.</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и мун.собственности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4278,7</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4278,7</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4000,0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4000,0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Прочие доходы от использования имущества и прав, находящихся в государственной и муниципальной собственности (за исключением имущества БУ и АУ, а  также имущества ГУП  и МУП, в том числе казенных)</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118,7</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118,7</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Платежи при пользовании природными ресурсами,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235,8</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131,0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-104,8</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55,6</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в т.ч.       Плата </w:t>
            </w:r>
            <w:r>
              <w:rPr>
                <w:rFonts w:ascii="Times New Roman" w:hAnsi="Times New Roman" w:cs="Times New Roman"/>
                <w:i/>
              </w:rPr>
              <w:t>за выбросы</w:t>
            </w:r>
            <w:r>
              <w:rPr>
                <w:rFonts w:ascii="Times New Roman" w:hAnsi="Times New Roman" w:cs="Times New Roman"/>
              </w:rPr>
              <w:t xml:space="preserve">  загрязняющих веществ в атмосферный воздух стационарными  объектами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221,4</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125,6</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-95,8</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57,1</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В т.ч.      Плата за размещение </w:t>
            </w:r>
            <w:r>
              <w:rPr>
                <w:rFonts w:ascii="Times New Roman" w:hAnsi="Times New Roman" w:cs="Times New Roman"/>
                <w:i/>
              </w:rPr>
              <w:t>отходо</w:t>
            </w:r>
            <w:r>
              <w:rPr>
                <w:rFonts w:ascii="Times New Roman" w:hAnsi="Times New Roman" w:cs="Times New Roman"/>
              </w:rPr>
              <w:t>в  производства и потребления</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13,2</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4,8</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-8,4</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36,4</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i/>
              </w:rPr>
              <w:t xml:space="preserve">        </w:t>
            </w:r>
            <w:r>
              <w:rPr>
                <w:rFonts w:ascii="Times New Roman" w:eastAsia="Times New Roman" w:hAnsi="Times New Roman" w:cs="Times New Roman"/>
                <w:i/>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1,2</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0,6</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-0,6</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Доходы от продажи материальных и нематериальных активов, в т.ч.</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780,0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780,0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spacing w:after="0" w:line="240" w:lineRule="auto"/>
              <w:jc w:val="both"/>
              <w:rPr>
                <w:rFonts w:ascii="Times New Roman" w:eastAsia="Times New Roman" w:hAnsi="Times New Roman" w:cs="Times New Roman"/>
                <w:i/>
                <w:color w:val="000000"/>
                <w:sz w:val="24"/>
                <w:szCs w:val="24"/>
              </w:rPr>
            </w:pPr>
            <w:r>
              <w:rPr>
                <w:rFonts w:ascii="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700,0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700,0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spacing w:after="0" w:line="240" w:lineRule="auto"/>
              <w:jc w:val="both"/>
              <w:rPr>
                <w:rFonts w:ascii="Times New Roman" w:eastAsia="Times New Roman" w:hAnsi="Times New Roman" w:cs="Times New Roman"/>
                <w:i/>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Штрафы, санкции, возмещение ущерба</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449,0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449,0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Прочие неналоговые доходы(инициативные плтежи)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16,2</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16,2</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Безвозмездные поступления, в том числе:</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801544,7</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795518,5</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-6026,2</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99,2</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Дотации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264791,0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254128,0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-10663,0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96,0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Субсидии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96215,2</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85064,4</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-11150,8</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88,4</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Субвенции</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388502,4</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402066,4</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13564,0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103,5</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Иные межбюджетные трансферты</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52036,1</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52759,7</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723,6</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101,4</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Прочие безвозмездные поступления</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1500,0</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1500,0</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55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ИТОГО ДОХОДОВ</w:t>
            </w:r>
          </w:p>
        </w:tc>
        <w:tc>
          <w:tcPr>
            <w:tcW w:w="11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903150,6</w:t>
            </w:r>
          </w:p>
        </w:tc>
        <w:tc>
          <w:tcPr>
            <w:tcW w:w="111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897696,8</w:t>
            </w:r>
          </w:p>
        </w:tc>
        <w:tc>
          <w:tcPr>
            <w:tcW w:w="110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-5453,8</w:t>
            </w:r>
          </w:p>
        </w:tc>
        <w:tc>
          <w:tcPr>
            <w:tcW w:w="71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99,4</w:t>
            </w: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проведении анализа данных об объемах уточнения доходов, зачисляемых в бюджет муниципального образования Акбулакский район </w:t>
      </w:r>
      <w:r>
        <w:rPr>
          <w:rFonts w:ascii="Times New Roman" w:hAnsi="Times New Roman" w:cs="Times New Roman"/>
          <w:i/>
          <w:sz w:val="28"/>
          <w:szCs w:val="28"/>
        </w:rPr>
        <w:t>снижение плановых назначений</w:t>
      </w:r>
      <w:r>
        <w:rPr>
          <w:rFonts w:ascii="Times New Roman" w:hAnsi="Times New Roman" w:cs="Times New Roman"/>
          <w:sz w:val="28"/>
          <w:szCs w:val="28"/>
        </w:rPr>
        <w:t xml:space="preserve"> по налоговым и неналоговым доходам установлено в размере 104,8 тыс.рублей «Платежи при пользовании </w:t>
      </w:r>
      <w:r>
        <w:rPr>
          <w:rFonts w:ascii="Times New Roman" w:hAnsi="Times New Roman" w:cs="Times New Roman"/>
          <w:sz w:val="28"/>
          <w:szCs w:val="28"/>
        </w:rPr>
        <w:lastRenderedPageBreak/>
        <w:t>природными ресурсами», по безвозмездным поступлениям  в сумме 6026,2 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Увеличение плановых назначений по доходным источникам:</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налоговые доходы (налоги на совокупный доход) увеличены на  661,0 тыс.рублей, в связи с поступлением денежных средств от  обществ с ограниченной ответственностью;</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прочие безвозмездные поступления  увеличены в сумме 1500,0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Структура доходов бюджета Акбулакского района, сложившаяся по фактическому исполнению за 2023 год, характеризуется следующим образом: налоговые и неналоговые доходы обеспечили 13,8%, безвозмездные поступления 86,2%.</w:t>
      </w:r>
    </w:p>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center"/>
        <w:rPr>
          <w:rFonts w:ascii="Times New Roman" w:hAnsi="Times New Roman" w:cs="Times New Roman"/>
          <w:b/>
          <w:sz w:val="28"/>
          <w:szCs w:val="28"/>
        </w:rPr>
      </w:pPr>
      <w:r>
        <w:rPr>
          <w:rFonts w:ascii="Times New Roman" w:hAnsi="Times New Roman" w:cs="Times New Roman"/>
          <w:b/>
          <w:sz w:val="28"/>
          <w:szCs w:val="28"/>
        </w:rPr>
        <w:t>Исполнение местного бюджета по доходам</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Сведения из Отчета об исполнении бюджета (ф.0503117) по  доходам бюджета муниципального образования Акбулакский район за 2023 год представлены в таблице:</w:t>
      </w:r>
    </w:p>
    <w:p w:rsidR="00B21DFF" w:rsidRDefault="00B21DFF">
      <w:pPr>
        <w:tabs>
          <w:tab w:val="left" w:pos="-426"/>
        </w:tabs>
        <w:spacing w:after="0"/>
        <w:jc w:val="both"/>
        <w:rPr>
          <w:rFonts w:ascii="Times New Roman" w:hAnsi="Times New Roman" w:cs="Times New Roman"/>
          <w:b/>
          <w:sz w:val="28"/>
          <w:szCs w:val="28"/>
        </w:rPr>
      </w:pPr>
    </w:p>
    <w:tbl>
      <w:tblPr>
        <w:tblStyle w:val="af"/>
        <w:tblW w:w="9571" w:type="dxa"/>
        <w:tblLayout w:type="fixed"/>
        <w:tblLook w:val="04A0" w:firstRow="1" w:lastRow="0" w:firstColumn="1" w:lastColumn="0" w:noHBand="0" w:noVBand="1"/>
      </w:tblPr>
      <w:tblGrid>
        <w:gridCol w:w="3860"/>
        <w:gridCol w:w="1495"/>
        <w:gridCol w:w="1159"/>
        <w:gridCol w:w="1635"/>
        <w:gridCol w:w="1422"/>
      </w:tblGrid>
      <w:tr w:rsidR="00B21DFF">
        <w:tc>
          <w:tcPr>
            <w:tcW w:w="38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1495"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Утвержденные</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бюджетные</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назначения</w:t>
            </w:r>
          </w:p>
        </w:tc>
        <w:tc>
          <w:tcPr>
            <w:tcW w:w="1159"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Исполнено</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доходов</w:t>
            </w:r>
          </w:p>
        </w:tc>
        <w:tc>
          <w:tcPr>
            <w:tcW w:w="1635"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Отклонение от назначений</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невыполнение,</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перевыполнение</w:t>
            </w:r>
          </w:p>
        </w:tc>
        <w:tc>
          <w:tcPr>
            <w:tcW w:w="142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выполнения бюджетных</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назначений</w:t>
            </w:r>
          </w:p>
        </w:tc>
      </w:tr>
      <w:tr w:rsidR="00B21DFF">
        <w:tc>
          <w:tcPr>
            <w:tcW w:w="3860"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w:t>
            </w:r>
          </w:p>
        </w:tc>
        <w:tc>
          <w:tcPr>
            <w:tcW w:w="149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w:t>
            </w:r>
          </w:p>
        </w:tc>
        <w:tc>
          <w:tcPr>
            <w:tcW w:w="1159"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3</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4</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5</w:t>
            </w:r>
          </w:p>
        </w:tc>
      </w:tr>
      <w:tr w:rsidR="00B21DFF">
        <w:tc>
          <w:tcPr>
            <w:tcW w:w="3860" w:type="dxa"/>
          </w:tcPr>
          <w:p w:rsidR="00B21DFF" w:rsidRDefault="008F18B2">
            <w:pPr>
              <w:tabs>
                <w:tab w:val="left" w:pos="-426"/>
              </w:tabs>
              <w:spacing w:after="0" w:line="240" w:lineRule="auto"/>
              <w:rPr>
                <w:rFonts w:ascii="Times New Roman" w:hAnsi="Times New Roman" w:cs="Times New Roman"/>
              </w:rPr>
            </w:pPr>
            <w:r>
              <w:rPr>
                <w:rFonts w:ascii="Times New Roman" w:hAnsi="Times New Roman" w:cs="Times New Roman"/>
              </w:rPr>
              <w:t>Доходы бюджета - всего</w:t>
            </w:r>
          </w:p>
        </w:tc>
        <w:tc>
          <w:tcPr>
            <w:tcW w:w="1495" w:type="dxa"/>
          </w:tcPr>
          <w:p w:rsidR="00B21DFF" w:rsidRDefault="008F18B2">
            <w:pPr>
              <w:tabs>
                <w:tab w:val="left" w:pos="-426"/>
              </w:tabs>
              <w:spacing w:after="0" w:line="240" w:lineRule="auto"/>
              <w:rPr>
                <w:rFonts w:ascii="Times New Roman" w:hAnsi="Times New Roman" w:cs="Times New Roman"/>
              </w:rPr>
            </w:pPr>
            <w:r>
              <w:rPr>
                <w:rFonts w:ascii="Times New Roman" w:hAnsi="Times New Roman" w:cs="Times New Roman"/>
              </w:rPr>
              <w:t>898829,1</w:t>
            </w:r>
          </w:p>
        </w:tc>
        <w:tc>
          <w:tcPr>
            <w:tcW w:w="1159"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917909,4</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+19080,3</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102,1</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НАЛОГОВЫЕ и НЕНАЛОГОВЫЕ ДОХОДЫ</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102178,3</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126913,4</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+24735,1</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124,2</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Налог  на доходы физических лиц</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78753,8</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98244,3</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+19490,5</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124,7</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Налоги на совокупный доход</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14850,0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17872,8</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+3022,8</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120,3</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Государственная пошлина</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2919,0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2692,3</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-226,7</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92,2</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Доходы от использования имущ-ва, находящегося в гос.</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и мун.собственности</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4278,7</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5846,3</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+1567,6</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136,6</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Платежи при пользовании природными ресурсами</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131,0</w:t>
            </w:r>
          </w:p>
          <w:p w:rsidR="00B21DFF" w:rsidRDefault="00B21DFF">
            <w:pPr>
              <w:tabs>
                <w:tab w:val="left" w:pos="-426"/>
              </w:tabs>
              <w:spacing w:after="0" w:line="240" w:lineRule="auto"/>
              <w:jc w:val="both"/>
              <w:rPr>
                <w:rFonts w:ascii="Times New Roman" w:hAnsi="Times New Roman" w:cs="Times New Roman"/>
              </w:rPr>
            </w:pP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153,4</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+22,4</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117,1</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Доходы от оказания платных услуг и компенсации затрат</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90,2</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0,0</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0,0</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Доходы от продажи материальных и нематериальных активов, в т.ч.</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780,0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1100,2</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+320,2</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141,1</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Штрафы, санкции, возмещение ущерба</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449,0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897,6</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+448,6</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200,0</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Прочие неналоговые доходы</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16,2</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16,2</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0,0</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100,0</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Безвозмездные поступления</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796650,8</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790996,0</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-5654,8</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99,3</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Дотации</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254128,0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254128,0</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0,0</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100,0</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Субсидии</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85064,4</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82566,4</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-2498,0</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97,1</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Субвенции</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403198,7</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400189,4</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-3009,3</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99,3</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Иные межбюджетные трансферты</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52759,7</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52512,2</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-247,5</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99,5</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lastRenderedPageBreak/>
              <w:t>Прочие безвозмездные поступления</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1500,0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1500,0</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0,00</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100,0</w:t>
            </w:r>
          </w:p>
        </w:tc>
      </w:tr>
      <w:tr w:rsidR="00B21DFF">
        <w:tc>
          <w:tcPr>
            <w:tcW w:w="386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Доходы бюджетов от возврата остатков субсидий, субвенций и иных межбюджетных трансфертов, имеющих целевое назначение, прошлых лет</w:t>
            </w:r>
          </w:p>
        </w:tc>
        <w:tc>
          <w:tcPr>
            <w:tcW w:w="149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0,00</w:t>
            </w:r>
          </w:p>
        </w:tc>
        <w:tc>
          <w:tcPr>
            <w:tcW w:w="115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c>
          <w:tcPr>
            <w:tcW w:w="1635"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0,00</w:t>
            </w:r>
          </w:p>
        </w:tc>
        <w:tc>
          <w:tcPr>
            <w:tcW w:w="1422"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0,00</w:t>
            </w: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Согласно данным Отчета (ф.0503117) утвержденные годовые бюджетные назначения на 2023 финансовый год по доходам составили 898829,1 тыс.рублей. Решением Совета депутатов от 22.12.2023 № 170 назначения по доходам утверждены в сумме 903150,6 тыс.рублей. Расхождение составляет 4321,5тыс.рублей.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В соответствии с пунктом 134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№м 191н) плановые назначения в разделе «Доходы бюджета» ф.0503117 заполняются на основании показателей доходов бюджета, утвержденных решением о бюджете, Следовательно, Отчет (ф.0503117) сформирован с несоблюдением положений Инструкции № 191н.</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Исполнение по итогам 2023 года составляет 917909,4 тыс.рублей или 102,1% от плановых  назначений.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Налоговые и неналоговые доходы поступили в сумме 126913,4 тыс.рублей (124,2%). Основную долю по налоговым поступлениям составляет налог на  доходы физических лиц в размере 98244,3 тыс.рублей(77,4%),  Налог на совокупный доход поступил в сумме17872,8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налог, взимаемый с налогоплательщиков, выбравших в качестве объекта налогообложения доходы исполнен в размере 12737,8 тыс.рублей или 125,8% к годовым плановым назначениям, что на 1309,3 тыс.рублей выше по отношению  к 2022 году;</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размере 3587,6 тыс. рублей или 125,6% к годовым плановым назначениям, что на   408,2 тыс.рублей ниже по отношению  к 2022 году(3995,8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исполнен в размере 1349,5 тыс.рублей или 189,4% к годовым плановым назначениям, что на  511,4 тыс.рублей  выше  по отношению  к 2022 году 838,1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налог, взимаемый в связи с применением патентной системы налогообложения исполнен в размере 227,2 тыс.рублей или 19,7% к годовым </w:t>
      </w:r>
      <w:r>
        <w:rPr>
          <w:rFonts w:ascii="Times New Roman" w:hAnsi="Times New Roman" w:cs="Times New Roman"/>
          <w:sz w:val="28"/>
          <w:szCs w:val="28"/>
        </w:rPr>
        <w:lastRenderedPageBreak/>
        <w:t xml:space="preserve">плановым назначениям,  что на  489,1 тыс.рублей ниже по отношению  к 2022 году 716,3 тыс.рублей, неисполнение в размере 928,8 тыс.рублей .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Государственная  пошлина поступила в районный бюджет в размере 2692,3 тыс.рублей или 92,2% к годовым  плановым назначениям(2919,0 тыс.рублей), неисполнение составило в сумме  226,7тыс.рублей, и ниже на 74,1 тыс.рублей   к 2022 году (2993,1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Доходы от использования имущества, находящегося в государственной и муниципальной собственности поступили в размере 5846,3 тыс.рублей или 136,6% к годовым плановым назначениям, что на 1329,0  тыс.рублей выше по отношению  к 2022 году (4517,3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Платежи при пользовании природными ресурсами составили 153,4 тыс.рублей или 117,1% к годовым плановым назначениям( 131,0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Доходы от оказания платных услуг и компенсации затрат государства исполнены в сумме 90,2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Доходы от продажи материальных и нематериальных активов исполнены в размере 1100,2 тыс.рублей или 141,1% к годовым  плановым назначениям(780,0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Штрафы, санкции, возмещение ущерба исполнено в размере 897,6тыс.рублей или 199,9% к годовым плановым назначениям(449,0 тыс.рублей), в 2023 году наблюдается повышения поступления средств на 138,0 тыс.рублей по отношению к 2022 году.</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Прочие неналоговые доходы исполнены в сумме 16,2 тыс.рублей- инициативные платежи или 100,0%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Безвозмездные поступления за 2023 год исполнены в размере 791,0тыс.рублей или 99,3% к годовым плановым назначениям(796,7 тыс.рублей), в том числе: дотации 254,1тыс.рублей (100,0%), субсидии 82566,4 тыс.рублей (97,0%), субвенции 400189,4 тыс.рублей (99,3%), иные межбюджетные трансферты 52512,2тыс.рублей (99,5%), прочие безвозмездные поступления 1500,0 тыс.рублей (100%),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в сумме 100,0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Информация по доходам в разрезе главных администраторов согласно Отчету о кассовом поступлении и выбытии бюджетных средств (ф.0503124) представлена в таблице.</w:t>
      </w:r>
    </w:p>
    <w:p w:rsidR="00B21DFF" w:rsidRDefault="008F18B2">
      <w:pPr>
        <w:tabs>
          <w:tab w:val="left" w:pos="-426"/>
        </w:tabs>
        <w:spacing w:after="0"/>
        <w:jc w:val="center"/>
        <w:rPr>
          <w:rFonts w:ascii="Times New Roman" w:hAnsi="Times New Roman" w:cs="Times New Roman"/>
          <w:sz w:val="28"/>
          <w:szCs w:val="28"/>
        </w:rPr>
      </w:pPr>
      <w:r>
        <w:rPr>
          <w:rFonts w:ascii="Times New Roman" w:hAnsi="Times New Roman" w:cs="Times New Roman"/>
          <w:sz w:val="28"/>
          <w:szCs w:val="28"/>
        </w:rPr>
        <w:t xml:space="preserve"> Главные администраторы по доходам, тыс.рублей</w:t>
      </w:r>
    </w:p>
    <w:tbl>
      <w:tblPr>
        <w:tblStyle w:val="af"/>
        <w:tblW w:w="9571" w:type="dxa"/>
        <w:tblLayout w:type="fixed"/>
        <w:tblLook w:val="04A0" w:firstRow="1" w:lastRow="0" w:firstColumn="1" w:lastColumn="0" w:noHBand="0" w:noVBand="1"/>
      </w:tblPr>
      <w:tblGrid>
        <w:gridCol w:w="776"/>
        <w:gridCol w:w="4830"/>
        <w:gridCol w:w="1669"/>
        <w:gridCol w:w="1270"/>
        <w:gridCol w:w="1026"/>
      </w:tblGrid>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Код</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ГАБС</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Наименование ГАБС</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Утверждено плановых</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назначений</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Исполнено</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тыс.рублей</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Процент</w:t>
            </w:r>
          </w:p>
        </w:tc>
      </w:tr>
      <w:tr w:rsidR="00B21DFF">
        <w:tc>
          <w:tcPr>
            <w:tcW w:w="776"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1</w:t>
            </w:r>
          </w:p>
        </w:tc>
        <w:tc>
          <w:tcPr>
            <w:tcW w:w="4830"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2</w:t>
            </w:r>
          </w:p>
        </w:tc>
        <w:tc>
          <w:tcPr>
            <w:tcW w:w="1669"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3</w:t>
            </w:r>
          </w:p>
        </w:tc>
        <w:tc>
          <w:tcPr>
            <w:tcW w:w="1270"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4</w:t>
            </w:r>
          </w:p>
        </w:tc>
        <w:tc>
          <w:tcPr>
            <w:tcW w:w="1026" w:type="dxa"/>
          </w:tcPr>
          <w:p w:rsidR="00B21DFF" w:rsidRDefault="008F18B2">
            <w:pPr>
              <w:tabs>
                <w:tab w:val="left" w:pos="-426"/>
              </w:tabs>
              <w:spacing w:after="0" w:line="240" w:lineRule="auto"/>
              <w:jc w:val="center"/>
              <w:rPr>
                <w:rFonts w:ascii="Times New Roman" w:hAnsi="Times New Roman" w:cs="Times New Roman"/>
              </w:rPr>
            </w:pPr>
            <w:r>
              <w:rPr>
                <w:rFonts w:ascii="Times New Roman" w:hAnsi="Times New Roman" w:cs="Times New Roman"/>
              </w:rPr>
              <w:t>5</w:t>
            </w:r>
          </w:p>
        </w:tc>
      </w:tr>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lastRenderedPageBreak/>
              <w:t>012</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Финансовый  отдел</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796650,8</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790996,0</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99,3</w:t>
            </w:r>
          </w:p>
        </w:tc>
      </w:tr>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048</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Южно-Уральское межгрегиональное управление Федеральной службы по надзору в сфере природопользования</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131,0</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153,5</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117,1</w:t>
            </w:r>
          </w:p>
        </w:tc>
      </w:tr>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700</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Администрация Акбулакского района</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5074,9</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7071,4</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139,3</w:t>
            </w:r>
          </w:p>
        </w:tc>
      </w:tr>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820</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Комитет по обеспечению деятельности мировых судей Оренбургской области</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429,0</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779,1</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181,6</w:t>
            </w:r>
          </w:p>
        </w:tc>
      </w:tr>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188</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Управление Министерства внутренних дел Российской Федерации по Оренбургской области</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68,7</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r>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182</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Управление Федеральной налоговой службы по Оренбургской области</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96523,4</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118809,4</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123,1</w:t>
            </w:r>
          </w:p>
        </w:tc>
      </w:tr>
      <w:tr w:rsidR="00B21DFF">
        <w:tc>
          <w:tcPr>
            <w:tcW w:w="77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811</w:t>
            </w: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Аппарат Губернатора и Правительства Орен.области</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20,0</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31,3</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156,4</w:t>
            </w:r>
          </w:p>
        </w:tc>
      </w:tr>
      <w:tr w:rsidR="00B21DFF">
        <w:tc>
          <w:tcPr>
            <w:tcW w:w="776" w:type="dxa"/>
          </w:tcPr>
          <w:p w:rsidR="00B21DFF" w:rsidRDefault="00B21DFF">
            <w:pPr>
              <w:tabs>
                <w:tab w:val="left" w:pos="-426"/>
              </w:tabs>
              <w:spacing w:after="0" w:line="240" w:lineRule="auto"/>
              <w:jc w:val="both"/>
              <w:rPr>
                <w:rFonts w:ascii="Times New Roman" w:hAnsi="Times New Roman" w:cs="Times New Roman"/>
              </w:rPr>
            </w:pPr>
          </w:p>
        </w:tc>
        <w:tc>
          <w:tcPr>
            <w:tcW w:w="483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итого</w:t>
            </w:r>
          </w:p>
        </w:tc>
        <w:tc>
          <w:tcPr>
            <w:tcW w:w="16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898829,1</w:t>
            </w:r>
          </w:p>
        </w:tc>
        <w:tc>
          <w:tcPr>
            <w:tcW w:w="127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917909,4</w:t>
            </w:r>
          </w:p>
        </w:tc>
        <w:tc>
          <w:tcPr>
            <w:tcW w:w="102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102,1</w:t>
            </w:r>
          </w:p>
        </w:tc>
      </w:tr>
    </w:tbl>
    <w:p w:rsidR="00B21DFF" w:rsidRDefault="00B21DFF">
      <w:pPr>
        <w:tabs>
          <w:tab w:val="left" w:pos="-426"/>
        </w:tabs>
        <w:spacing w:after="0"/>
        <w:jc w:val="both"/>
        <w:rPr>
          <w:rFonts w:ascii="Times New Roman" w:hAnsi="Times New Roman" w:cs="Times New Roman"/>
          <w:b/>
          <w:sz w:val="28"/>
          <w:szCs w:val="28"/>
        </w:rPr>
      </w:pPr>
    </w:p>
    <w:p w:rsidR="00B21DFF" w:rsidRDefault="008F18B2">
      <w:pPr>
        <w:tabs>
          <w:tab w:val="left" w:pos="-426"/>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Исполнение местного бюджета по расходам</w:t>
      </w:r>
    </w:p>
    <w:p w:rsidR="00B21DFF" w:rsidRDefault="00B21DFF">
      <w:pPr>
        <w:tabs>
          <w:tab w:val="left" w:pos="-426"/>
        </w:tabs>
        <w:spacing w:after="0"/>
        <w:jc w:val="both"/>
        <w:rPr>
          <w:rFonts w:ascii="Times New Roman" w:hAnsi="Times New Roman" w:cs="Times New Roman"/>
          <w:b/>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Сведения из Отчета (ф.0503117) по расходам в разрезе разделов экономической классификации расходов, представлены в таблице:</w:t>
      </w:r>
    </w:p>
    <w:p w:rsidR="00B21DFF" w:rsidRDefault="00B21DFF">
      <w:pPr>
        <w:tabs>
          <w:tab w:val="left" w:pos="-426"/>
        </w:tabs>
        <w:spacing w:after="0"/>
        <w:jc w:val="both"/>
        <w:rPr>
          <w:rFonts w:ascii="Times New Roman" w:hAnsi="Times New Roman" w:cs="Times New Roman"/>
          <w:sz w:val="28"/>
          <w:szCs w:val="28"/>
        </w:rPr>
      </w:pPr>
    </w:p>
    <w:tbl>
      <w:tblPr>
        <w:tblStyle w:val="af"/>
        <w:tblW w:w="9571" w:type="dxa"/>
        <w:tblLayout w:type="fixed"/>
        <w:tblLook w:val="04A0" w:firstRow="1" w:lastRow="0" w:firstColumn="1" w:lastColumn="0" w:noHBand="0" w:noVBand="1"/>
      </w:tblPr>
      <w:tblGrid>
        <w:gridCol w:w="1702"/>
        <w:gridCol w:w="2443"/>
        <w:gridCol w:w="1621"/>
        <w:gridCol w:w="1255"/>
        <w:gridCol w:w="1413"/>
        <w:gridCol w:w="1137"/>
      </w:tblGrid>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Код раздела</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Классификации</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расходов</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Наименование показателя</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Утвержденные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Бюджетные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назначения</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Исполнено</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Исполнение,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процентов</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Доля в  общем</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объеме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(процент)</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w:t>
            </w:r>
          </w:p>
        </w:tc>
      </w:tr>
      <w:tr w:rsidR="00B21DFF">
        <w:tc>
          <w:tcPr>
            <w:tcW w:w="1701" w:type="dxa"/>
          </w:tcPr>
          <w:p w:rsidR="00B21DFF" w:rsidRDefault="00B21DFF">
            <w:pPr>
              <w:tabs>
                <w:tab w:val="left" w:pos="-426"/>
              </w:tabs>
              <w:spacing w:after="0" w:line="240" w:lineRule="auto"/>
              <w:jc w:val="both"/>
              <w:rPr>
                <w:rFonts w:ascii="Times New Roman" w:hAnsi="Times New Roman" w:cs="Times New Roman"/>
              </w:rPr>
            </w:pP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Расходы бюджета - всего</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909589,4</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898726,6</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98,8</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01</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Общегосударственные вопросы</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63272,3</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61332,3</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96,9</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6,8</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03</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Национальная безопасность и правоохранительная деятельность</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5274,3</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5233,2</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99,2</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0,6</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04</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Национальная экономика</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15782,1</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14949,1</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94,7</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1,7</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05</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Жилищно-коммунальное хозяйство</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2365,3</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2341,5</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99,0</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0,3</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07</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Образование</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602615,0</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596974,4</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99,1</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66,4</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08</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Культура, кинематография</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58683,4</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58598,5</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99,8</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6,5</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09</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Здравоохранение</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2235,6</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2235,6</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100,0</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0,2</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Социальная политика</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44359,0</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42157,5</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95,0</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4,7</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Физическая культура и спорт</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17215,5</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17120,9</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99,5</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1,9</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Межбюджетные трансферты общего характера бюджетам бюджетной системы РФ</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97786,9</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97783,4</w:t>
            </w:r>
          </w:p>
        </w:tc>
        <w:tc>
          <w:tcPr>
            <w:tcW w:w="141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99,9</w:t>
            </w:r>
          </w:p>
        </w:tc>
        <w:tc>
          <w:tcPr>
            <w:tcW w:w="113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10,9</w:t>
            </w:r>
          </w:p>
        </w:tc>
      </w:tr>
      <w:tr w:rsidR="00B21DFF">
        <w:tc>
          <w:tcPr>
            <w:tcW w:w="1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Х</w:t>
            </w:r>
          </w:p>
        </w:tc>
        <w:tc>
          <w:tcPr>
            <w:tcW w:w="244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Результат исполнения(дефицит)</w:t>
            </w:r>
          </w:p>
        </w:tc>
        <w:tc>
          <w:tcPr>
            <w:tcW w:w="162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10760,3</w:t>
            </w:r>
          </w:p>
        </w:tc>
        <w:tc>
          <w:tcPr>
            <w:tcW w:w="12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-19182,9</w:t>
            </w:r>
          </w:p>
        </w:tc>
        <w:tc>
          <w:tcPr>
            <w:tcW w:w="1413" w:type="dxa"/>
          </w:tcPr>
          <w:p w:rsidR="00B21DFF" w:rsidRDefault="00B21DFF">
            <w:pPr>
              <w:tabs>
                <w:tab w:val="left" w:pos="-426"/>
              </w:tabs>
              <w:spacing w:after="0" w:line="240" w:lineRule="auto"/>
              <w:jc w:val="both"/>
              <w:rPr>
                <w:rFonts w:ascii="Times New Roman" w:hAnsi="Times New Roman" w:cs="Times New Roman"/>
              </w:rPr>
            </w:pPr>
          </w:p>
        </w:tc>
        <w:tc>
          <w:tcPr>
            <w:tcW w:w="1137" w:type="dxa"/>
          </w:tcPr>
          <w:p w:rsidR="00B21DFF" w:rsidRDefault="00B21DFF">
            <w:pPr>
              <w:tabs>
                <w:tab w:val="left" w:pos="-426"/>
              </w:tabs>
              <w:spacing w:after="0" w:line="240" w:lineRule="auto"/>
              <w:jc w:val="both"/>
              <w:rPr>
                <w:rFonts w:ascii="Times New Roman" w:hAnsi="Times New Roman" w:cs="Times New Roman"/>
              </w:rPr>
            </w:pP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Бюджетные ассигнования по расходам на 2023 в соответствии со сводной бюджетной росписью составили  909589,4тыс.рублей. Решением Совета депутатов от 22.12.2022 №  170  бюджетные ассигнования утверждены в размере 903150,6 тыс.рублей. Расхождение составляет 6438,8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Исполнение по расходам за 2023 год составило  898726,6 тыс.рублей или 98,8% от запланированных показателей (909589,4 тыс.рублей). Наибольший удельный вес  в расходах районного бюджета составили расходы  на образование -66,4%; общегосударственные вопросы – 6,8% культура -6,5%. В общей сумме расходов доля межбюджетных трансфертов составила 10,9%.</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Отчет  об использовании средств резервного фонда за 2023 год размещен на официальном сайте  администрации Акбулакского района, исполнение составляет в сумме 385,7 тыс.рублей.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Постановлением Правительства Оренбургской области от 12.05.2020 № 402-пп «Об утверждении методики проведения оценки качества управления муниципальными финансами  городских округов и муниципальных районов Оренбургской области и о признании утратившими силу некоторых постановлений Правительства Оренбургской области» (далее – Постановление № 402-пп) предусмотрены индикаторы оценки качества управления муниципальными финансами городских округов и м муниципальных районов Оренбургской области, в том числе «Наличие утвержденного порядка проведения обзора бюджетных расходов муниципального образования» и «Наличие результатов проведения обзоров  бюджетных расходов  муниципального образования».</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В ходе проведения контрольного  мероприятия представлен Приказ финансового отдела от 30.12.2020 № 29 «Об утверждении Порядка проведения обзоров расходов бюджета муниципального образования Акбулакский район». Бюджетные ассигнования на </w:t>
      </w:r>
      <w:r>
        <w:rPr>
          <w:rFonts w:ascii="Times New Roman" w:hAnsi="Times New Roman" w:cs="Times New Roman"/>
          <w:i/>
          <w:sz w:val="28"/>
          <w:szCs w:val="28"/>
        </w:rPr>
        <w:t>услуги связи утверждены в сумме  тыс.рублей, исполнены в сумме  тыс.рублей или 95,6%. Отклонения в сумме 99,7 тыс.рублей</w:t>
      </w:r>
      <w:r>
        <w:rPr>
          <w:rFonts w:ascii="Times New Roman" w:hAnsi="Times New Roman" w:cs="Times New Roman"/>
          <w:sz w:val="28"/>
          <w:szCs w:val="28"/>
        </w:rPr>
        <w:t>. Договоры на оплату  услуг связи заключаются в пределах  сумм, предусмотренных планами финансово-хозяйственной деятельности учреждений. В условиях постоянного роста тарифов на услуги связи вопрос экономии бюджетных расходов стоит особенно остро. В целях повышения эффективности расходования средств главными распорядителями средств муниципального образования Акбулакский район в части их подведомственных учреждений даны рекомендации.</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Главными распорядителями средств бюджета муниципального образования Акбулакский район являются: Администрация Акбулакского района  (код ГРБС 700, ИНН  5620004741), Финансовый отдел   ( код ГРБС 012 ИНН 5620004798), Отдел культуры  код ГРБС 081, ИНН 5620004780), Отдел </w:t>
      </w:r>
      <w:r>
        <w:rPr>
          <w:rFonts w:ascii="Times New Roman" w:hAnsi="Times New Roman" w:cs="Times New Roman"/>
          <w:sz w:val="28"/>
          <w:szCs w:val="28"/>
        </w:rPr>
        <w:lastRenderedPageBreak/>
        <w:t>Образования (код ГРБС 071 ИНН 5620007238), Контрольно-счетная палата (код ГРБС 710  ИНН  5620020863).</w:t>
      </w:r>
    </w:p>
    <w:p w:rsidR="00B21DFF" w:rsidRDefault="008F18B2">
      <w:pPr>
        <w:tabs>
          <w:tab w:val="left" w:pos="-426"/>
        </w:tabs>
        <w:spacing w:after="0"/>
        <w:jc w:val="center"/>
        <w:rPr>
          <w:rFonts w:ascii="Times New Roman" w:hAnsi="Times New Roman" w:cs="Times New Roman"/>
          <w:sz w:val="28"/>
          <w:szCs w:val="28"/>
        </w:rPr>
      </w:pPr>
      <w:r>
        <w:rPr>
          <w:rFonts w:ascii="Times New Roman" w:hAnsi="Times New Roman" w:cs="Times New Roman"/>
          <w:sz w:val="28"/>
          <w:szCs w:val="28"/>
        </w:rPr>
        <w:t>Информация по расходам бюджета в разрезе главных распорядителей бюджетных средств представлена в таблице: (тыс.рублей).</w:t>
      </w:r>
    </w:p>
    <w:tbl>
      <w:tblPr>
        <w:tblStyle w:val="af"/>
        <w:tblW w:w="8803" w:type="dxa"/>
        <w:tblLayout w:type="fixed"/>
        <w:tblLook w:val="04A0" w:firstRow="1" w:lastRow="0" w:firstColumn="1" w:lastColumn="0" w:noHBand="0" w:noVBand="1"/>
      </w:tblPr>
      <w:tblGrid>
        <w:gridCol w:w="1076"/>
        <w:gridCol w:w="3470"/>
        <w:gridCol w:w="2146"/>
        <w:gridCol w:w="1160"/>
        <w:gridCol w:w="951"/>
      </w:tblGrid>
      <w:tr w:rsidR="00B21DFF">
        <w:tc>
          <w:tcPr>
            <w:tcW w:w="107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Код ГРБС</w:t>
            </w:r>
          </w:p>
        </w:tc>
        <w:tc>
          <w:tcPr>
            <w:tcW w:w="347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ГРБС</w:t>
            </w:r>
          </w:p>
        </w:tc>
        <w:tc>
          <w:tcPr>
            <w:tcW w:w="21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Утверждено плановых</w:t>
            </w:r>
          </w:p>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назначений</w:t>
            </w:r>
          </w:p>
        </w:tc>
        <w:tc>
          <w:tcPr>
            <w:tcW w:w="11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Исполнено</w:t>
            </w:r>
          </w:p>
        </w:tc>
        <w:tc>
          <w:tcPr>
            <w:tcW w:w="9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Процент</w:t>
            </w:r>
          </w:p>
        </w:tc>
      </w:tr>
      <w:tr w:rsidR="00B21DFF">
        <w:tc>
          <w:tcPr>
            <w:tcW w:w="107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012</w:t>
            </w:r>
          </w:p>
        </w:tc>
        <w:tc>
          <w:tcPr>
            <w:tcW w:w="347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Финансовый отдел</w:t>
            </w:r>
          </w:p>
        </w:tc>
        <w:tc>
          <w:tcPr>
            <w:tcW w:w="21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113318,6</w:t>
            </w:r>
          </w:p>
        </w:tc>
        <w:tc>
          <w:tcPr>
            <w:tcW w:w="11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113306,2</w:t>
            </w:r>
          </w:p>
        </w:tc>
        <w:tc>
          <w:tcPr>
            <w:tcW w:w="9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99,9</w:t>
            </w:r>
          </w:p>
        </w:tc>
      </w:tr>
      <w:tr w:rsidR="00B21DFF">
        <w:tc>
          <w:tcPr>
            <w:tcW w:w="107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071</w:t>
            </w:r>
          </w:p>
        </w:tc>
        <w:tc>
          <w:tcPr>
            <w:tcW w:w="347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Отдел Образования</w:t>
            </w:r>
          </w:p>
        </w:tc>
        <w:tc>
          <w:tcPr>
            <w:tcW w:w="21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611682,5</w:t>
            </w:r>
          </w:p>
        </w:tc>
        <w:tc>
          <w:tcPr>
            <w:tcW w:w="11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603848,9</w:t>
            </w:r>
          </w:p>
        </w:tc>
        <w:tc>
          <w:tcPr>
            <w:tcW w:w="9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98,7</w:t>
            </w:r>
          </w:p>
        </w:tc>
      </w:tr>
      <w:tr w:rsidR="00B21DFF">
        <w:tc>
          <w:tcPr>
            <w:tcW w:w="107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081</w:t>
            </w:r>
          </w:p>
        </w:tc>
        <w:tc>
          <w:tcPr>
            <w:tcW w:w="347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Отдел  Культуры</w:t>
            </w:r>
          </w:p>
        </w:tc>
        <w:tc>
          <w:tcPr>
            <w:tcW w:w="21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68129,8</w:t>
            </w:r>
          </w:p>
        </w:tc>
        <w:tc>
          <w:tcPr>
            <w:tcW w:w="11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68045,0</w:t>
            </w:r>
          </w:p>
        </w:tc>
        <w:tc>
          <w:tcPr>
            <w:tcW w:w="9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99,9</w:t>
            </w:r>
          </w:p>
        </w:tc>
      </w:tr>
      <w:tr w:rsidR="00B21DFF">
        <w:tc>
          <w:tcPr>
            <w:tcW w:w="107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700</w:t>
            </w:r>
          </w:p>
        </w:tc>
        <w:tc>
          <w:tcPr>
            <w:tcW w:w="347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Акбулакского района</w:t>
            </w:r>
          </w:p>
        </w:tc>
        <w:tc>
          <w:tcPr>
            <w:tcW w:w="21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115534,4</w:t>
            </w:r>
          </w:p>
        </w:tc>
        <w:tc>
          <w:tcPr>
            <w:tcW w:w="11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112602,4</w:t>
            </w:r>
          </w:p>
        </w:tc>
        <w:tc>
          <w:tcPr>
            <w:tcW w:w="9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97,5</w:t>
            </w:r>
          </w:p>
        </w:tc>
      </w:tr>
      <w:tr w:rsidR="00B21DFF">
        <w:tc>
          <w:tcPr>
            <w:tcW w:w="107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710</w:t>
            </w:r>
          </w:p>
        </w:tc>
        <w:tc>
          <w:tcPr>
            <w:tcW w:w="347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Контрольно-счетная палата</w:t>
            </w:r>
          </w:p>
        </w:tc>
        <w:tc>
          <w:tcPr>
            <w:tcW w:w="21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924,0</w:t>
            </w:r>
          </w:p>
        </w:tc>
        <w:tc>
          <w:tcPr>
            <w:tcW w:w="11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924,0</w:t>
            </w:r>
          </w:p>
        </w:tc>
        <w:tc>
          <w:tcPr>
            <w:tcW w:w="9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100,0</w:t>
            </w:r>
          </w:p>
        </w:tc>
      </w:tr>
      <w:tr w:rsidR="00B21DFF">
        <w:tc>
          <w:tcPr>
            <w:tcW w:w="1076"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347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Итого расходов</w:t>
            </w:r>
          </w:p>
        </w:tc>
        <w:tc>
          <w:tcPr>
            <w:tcW w:w="21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909589,4</w:t>
            </w:r>
          </w:p>
        </w:tc>
        <w:tc>
          <w:tcPr>
            <w:tcW w:w="116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898726,6</w:t>
            </w:r>
          </w:p>
        </w:tc>
        <w:tc>
          <w:tcPr>
            <w:tcW w:w="9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98,8</w:t>
            </w: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Показатели, отраженные в Отчете (ф.0503124) соответствуют показателям, отраженным в Отчете (ф.0503117).</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Баланс (ф.0503120) сформирован на основании сводного  баланса ф.</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0503130 и сводного баланса ф.0503140 путем объединения показателей по строкам и графам отчетов, с одновременным исключением взаимосвязанных показателей.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Балансе исполнения консолидированного бюджета (ф.0503120) отражены показатели о стоимости активов, обязательств, финансовом результате на начало и на конец отчетного года.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течение отчетного 2023 года валюта Баланса исполнения бюджета (ф.0503120) увеличилась на 144066,2 тыс.рублей. Подробнее в таблице.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Таблица (тыс.рублей)</w:t>
      </w:r>
    </w:p>
    <w:tbl>
      <w:tblPr>
        <w:tblStyle w:val="af"/>
        <w:tblW w:w="9571" w:type="dxa"/>
        <w:tblLayout w:type="fixed"/>
        <w:tblLook w:val="04A0" w:firstRow="1" w:lastRow="0" w:firstColumn="1" w:lastColumn="0" w:noHBand="0" w:noVBand="1"/>
      </w:tblPr>
      <w:tblGrid>
        <w:gridCol w:w="4504"/>
        <w:gridCol w:w="942"/>
        <w:gridCol w:w="1429"/>
        <w:gridCol w:w="1429"/>
        <w:gridCol w:w="1267"/>
      </w:tblGrid>
      <w:tr w:rsidR="00B21DFF">
        <w:tc>
          <w:tcPr>
            <w:tcW w:w="450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Показатель  баланса (ф.0503120)</w:t>
            </w:r>
          </w:p>
        </w:tc>
        <w:tc>
          <w:tcPr>
            <w:tcW w:w="94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Код строки</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01.01.2023</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01.01.2024</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Изменение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w:t>
            </w:r>
          </w:p>
        </w:tc>
        <w:tc>
          <w:tcPr>
            <w:tcW w:w="942"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Актив</w:t>
            </w:r>
          </w:p>
        </w:tc>
        <w:tc>
          <w:tcPr>
            <w:tcW w:w="942" w:type="dxa"/>
          </w:tcPr>
          <w:p w:rsidR="00B21DFF" w:rsidRDefault="00B21DFF">
            <w:pPr>
              <w:tabs>
                <w:tab w:val="left" w:pos="-426"/>
              </w:tabs>
              <w:spacing w:after="0" w:line="240" w:lineRule="auto"/>
              <w:jc w:val="both"/>
              <w:rPr>
                <w:rFonts w:ascii="Times New Roman" w:hAnsi="Times New Roman" w:cs="Times New Roman"/>
              </w:rPr>
            </w:pP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3668629,7</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3812695,9</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144066,2</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средства (остаточная стоимость)</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030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12980,3</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4623,1</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-8657,2</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Непроизведенные активы (остаточная стоимость)</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070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370223,7</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370223,7</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0,00</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Материальные запасы</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080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3673,4</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3742,0</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68,6</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Вложения в нефинансовые активы</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357,8</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357,8</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0,00</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Нефинансовые активы казны (остаточная стоимость)</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195327,1</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16819,3</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1492,2</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Расходы будущих периодов</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154,1</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102,4</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-51,7</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Денежные средства в кассе учреждения</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207,0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0,00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45,3</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+45,3</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на счете бюджета в органе казначейства (включая во времен.распоряжении)</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17066,9</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35734,9</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18668,0</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Финансовые вложения (долгосрочные)</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241</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880974,2</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899782,8</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18808,6</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по доходам</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2187871,5</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2301198,4</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113326,9</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 долгосрочная</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251</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1385618,4</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1488650,7</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103023,3</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по выплатам</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260</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0,7</w:t>
            </w:r>
          </w:p>
        </w:tc>
        <w:tc>
          <w:tcPr>
            <w:tcW w:w="14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46,2</w:t>
            </w:r>
          </w:p>
        </w:tc>
        <w:tc>
          <w:tcPr>
            <w:tcW w:w="126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45,5</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Пассив</w:t>
            </w:r>
          </w:p>
        </w:tc>
        <w:tc>
          <w:tcPr>
            <w:tcW w:w="942" w:type="dxa"/>
          </w:tcPr>
          <w:p w:rsidR="00B21DFF" w:rsidRDefault="00B21DFF">
            <w:pPr>
              <w:tabs>
                <w:tab w:val="left" w:pos="-426"/>
              </w:tabs>
              <w:spacing w:after="0" w:line="240" w:lineRule="auto"/>
              <w:jc w:val="both"/>
              <w:rPr>
                <w:rFonts w:ascii="Times New Roman" w:hAnsi="Times New Roman" w:cs="Times New Roman"/>
                <w:sz w:val="28"/>
                <w:szCs w:val="28"/>
              </w:rPr>
            </w:pP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3668629,7</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3812695,9</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144066,2</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по выплатам</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410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595,0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3,0</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-592,0</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Расчеты по платежам в  бюджеты</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420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50,0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-50,0</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Иные расчеты (во временном распоряжении)</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430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514,9</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0,0</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-514,9</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будущих периодов</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2187637,6</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2301198,4</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113560,8</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Резервы предстоящих расходов</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520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3074,1</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4116,4</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1042,3</w:t>
            </w:r>
          </w:p>
        </w:tc>
      </w:tr>
      <w:tr w:rsidR="00B21DFF">
        <w:tc>
          <w:tcPr>
            <w:tcW w:w="450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Финансовый результат</w:t>
            </w:r>
          </w:p>
        </w:tc>
        <w:tc>
          <w:tcPr>
            <w:tcW w:w="942"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560</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1476758,2</w:t>
            </w:r>
          </w:p>
        </w:tc>
        <w:tc>
          <w:tcPr>
            <w:tcW w:w="14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1507378,1</w:t>
            </w:r>
          </w:p>
        </w:tc>
        <w:tc>
          <w:tcPr>
            <w:tcW w:w="126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30619,9</w:t>
            </w: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Увеличение баланса в  2023 году на 144066,2 тыс.рублей по активу  баланса обеспечено в основном:</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-увеличением дебиторской задолженности по доходам на 113326,9 тыс.рублей. Размер долгосрочной дебиторской задолженности по доходам увеличен на  103032,3  тыс.рублей,  в связи с включением  в состав долгосрочной дебиторской задолженности ожидаемых поступлений межбюджетных трансфертов;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увеличением денежных средств на счете бюджета на  18668,0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увеличением финансовых вложений на 18808,6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Величина дебиторской задолженности, отраженная в Балансе (ф.0503120) по строкам 250, 251, 260 соответствует остаткам по счетам 120500000, 120600000, 120800000, 120900000, 130300000 Сведений  (ф.0503169).</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пассиве Баланса (ф.503120) увеличение обязательств на  144066,2 тыс.рублей обеспечено в основном начислением суммы доходов будущих периодов (от  безвозмездных поступлений от других бюджетов бюджетной системы).</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Информация  об имуществе и обязательствах, принятых к забалансовому учету, по   данным справки  к Балансу (ф.0503120), представлена  в таблице.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Таблица (тыс.руб)</w:t>
      </w:r>
    </w:p>
    <w:p w:rsidR="00B21DFF" w:rsidRDefault="00B21DFF">
      <w:pPr>
        <w:tabs>
          <w:tab w:val="left" w:pos="-426"/>
        </w:tabs>
        <w:spacing w:after="0"/>
        <w:jc w:val="both"/>
        <w:rPr>
          <w:rFonts w:ascii="Times New Roman" w:hAnsi="Times New Roman" w:cs="Times New Roman"/>
          <w:sz w:val="28"/>
          <w:szCs w:val="28"/>
        </w:rPr>
      </w:pPr>
    </w:p>
    <w:tbl>
      <w:tblPr>
        <w:tblStyle w:val="af"/>
        <w:tblW w:w="9571" w:type="dxa"/>
        <w:tblLayout w:type="fixed"/>
        <w:tblLook w:val="04A0" w:firstRow="1" w:lastRow="0" w:firstColumn="1" w:lastColumn="0" w:noHBand="0" w:noVBand="1"/>
      </w:tblPr>
      <w:tblGrid>
        <w:gridCol w:w="5269"/>
        <w:gridCol w:w="833"/>
        <w:gridCol w:w="855"/>
        <w:gridCol w:w="1306"/>
        <w:gridCol w:w="1308"/>
      </w:tblGrid>
      <w:tr w:rsidR="00B21DFF">
        <w:tc>
          <w:tcPr>
            <w:tcW w:w="5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lastRenderedPageBreak/>
              <w:t>Наименование забалансового счета (показателя)</w:t>
            </w:r>
          </w:p>
        </w:tc>
        <w:tc>
          <w:tcPr>
            <w:tcW w:w="833"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Номер</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счета</w:t>
            </w:r>
          </w:p>
        </w:tc>
        <w:tc>
          <w:tcPr>
            <w:tcW w:w="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Код</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строки</w:t>
            </w:r>
          </w:p>
        </w:tc>
        <w:tc>
          <w:tcPr>
            <w:tcW w:w="130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01.01.2023</w:t>
            </w:r>
          </w:p>
        </w:tc>
        <w:tc>
          <w:tcPr>
            <w:tcW w:w="130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01.01.2024</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 полученное в пользование</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010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28246,3</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28284,7</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Материальные ценности на хранении</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020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1223,3</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1855,8</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Бланки строгой отчетности</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03</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030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0,7</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Сомнительная задолженность</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040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439,9</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Награды, призы, кубки и ценные подарки, сувениры</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07</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070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18,5</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Запасные части к транспортным средствам, выданные взамен изношенных</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09</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090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105,3</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384,4</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Поступление денежных средств, всего (во врем.распоряжении)</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170</w:t>
            </w:r>
          </w:p>
        </w:tc>
        <w:tc>
          <w:tcPr>
            <w:tcW w:w="1306" w:type="dxa"/>
          </w:tcPr>
          <w:p w:rsidR="00B21DFF" w:rsidRDefault="00B21DFF">
            <w:pPr>
              <w:tabs>
                <w:tab w:val="left" w:pos="-426"/>
              </w:tabs>
              <w:spacing w:after="0" w:line="240" w:lineRule="auto"/>
              <w:jc w:val="both"/>
              <w:rPr>
                <w:rFonts w:ascii="Times New Roman" w:hAnsi="Times New Roman" w:cs="Times New Roman"/>
                <w:sz w:val="28"/>
                <w:szCs w:val="28"/>
              </w:rPr>
            </w:pP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10066,7</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Выбытия денежных средств всего (во времен.распоряжении)</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1306" w:type="dxa"/>
          </w:tcPr>
          <w:p w:rsidR="00B21DFF" w:rsidRDefault="00B21DFF">
            <w:pPr>
              <w:tabs>
                <w:tab w:val="left" w:pos="-426"/>
              </w:tabs>
              <w:spacing w:after="0" w:line="240" w:lineRule="auto"/>
              <w:jc w:val="both"/>
              <w:rPr>
                <w:rFonts w:ascii="Times New Roman" w:hAnsi="Times New Roman" w:cs="Times New Roman"/>
                <w:sz w:val="28"/>
                <w:szCs w:val="28"/>
              </w:rPr>
            </w:pP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10581,6</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средства в эксплуатации</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1480,6</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1999,5</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 переданное в возмездное пользование (аренду)</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34887,2</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3487,2</w:t>
            </w:r>
          </w:p>
        </w:tc>
      </w:tr>
      <w:tr w:rsidR="00B21DFF">
        <w:tc>
          <w:tcPr>
            <w:tcW w:w="5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 переданное в безвозмездное пользование</w:t>
            </w:r>
          </w:p>
        </w:tc>
        <w:tc>
          <w:tcPr>
            <w:tcW w:w="833"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855"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260</w:t>
            </w:r>
          </w:p>
        </w:tc>
        <w:tc>
          <w:tcPr>
            <w:tcW w:w="1306"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80392,0</w:t>
            </w:r>
          </w:p>
        </w:tc>
        <w:tc>
          <w:tcPr>
            <w:tcW w:w="130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91212,8</w:t>
            </w: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По строке 040 «Сомнительная задолженность»  увеличение показателя обеспечено за счет списания дебиторской задолженности нереальной к взысканию по причине исключения из ЕГРЮЛ недействующего юридического лица.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 строке 070 «Награды, призы, кубки и ценные подарки, сувениры» произошло увеличение показателя на 18,5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 строке 090 «Запасные части к транспортным средствам, выданные взамен изношенных» произошло увеличение показателя на 279,1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 части формирования по забалансовым счетам учета информации о движении денежных средств: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строке  170 «Поступления денежных средств, всего – источники финансирования дефицита бюджета» величина составила 10066,7  тыс.рублей ( в Отчете ф.0503123) по строке  4410 «поступление денежных средств во временное распоряжение» величина показателя составила 10066,7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строке 180 «Выбытия денежных средств, всего – источники финансирования дефицита бюджета»  величина показателя составила 10581,6 тыс.рублей ( в Отчете (ф.0503123) по строке 4420 «выбытие денежных средств во временном распоряжении» величина показателя составила 10581,6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По строке 210 «Основные средства  в эксплуатации» увеличение на 518,9 тыс.рублей произошло за счет приобретения основных средств меньше 10,0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  строке 260 «Имущество, переданное в  безвозмездное  пользование» произошло увеличение за счет передачи жилья по договорам социального найма и договорам найма специализированных жилых помещений на 10820,8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Отчет о финансовых результатах деятельности ( ф.0503121</w:t>
      </w:r>
      <w:r>
        <w:rPr>
          <w:rFonts w:ascii="Times New Roman" w:hAnsi="Times New Roman" w:cs="Times New Roman"/>
          <w:sz w:val="28"/>
          <w:szCs w:val="28"/>
        </w:rPr>
        <w:t xml:space="preserve">) содержит данные о финансовых результатах деятельности по состоянию на  01.01.2024 в разрезе кодов КОСГУ.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Доходы в Отчете ф.0503121</w:t>
      </w:r>
      <w:r>
        <w:rPr>
          <w:rFonts w:ascii="Times New Roman" w:hAnsi="Times New Roman" w:cs="Times New Roman"/>
          <w:sz w:val="28"/>
          <w:szCs w:val="28"/>
        </w:rPr>
        <w:t xml:space="preserve"> отражены в сумме  941508370,52 рублей. Показатели в разрезе КОСГУ соответствуют суммарным значениям по соответствующим КОСГУ Справки (ф.0503110).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300 «Чистый операционный результат» в  размере 30619889,76 рублей соответствует разнице показателей Баланса ф.0503120 на начало и конец отчетного периода по коду строки 560 «Финансовый результат».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По строке 400 «Расходы будущих периодов»</w:t>
      </w:r>
      <w:r>
        <w:rPr>
          <w:rFonts w:ascii="Times New Roman" w:hAnsi="Times New Roman" w:cs="Times New Roman"/>
          <w:sz w:val="28"/>
          <w:szCs w:val="28"/>
        </w:rPr>
        <w:t xml:space="preserve"> показатель в  размере -51688,84 рублей соответствует изменению остатков по строке 160 «Расходы будущих периодов (040150000)» Баланса (ф.0503120).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По строке 550 «Доходы будущих периодов</w:t>
      </w:r>
      <w:r>
        <w:rPr>
          <w:rFonts w:ascii="Times New Roman" w:hAnsi="Times New Roman" w:cs="Times New Roman"/>
          <w:sz w:val="28"/>
          <w:szCs w:val="28"/>
        </w:rPr>
        <w:t>» показатель в размере 113560791,35 рублей соответствует изменению остатков по счету 1 40140000 в Сведениях (ф.0503169), по строке 510 «Доходы будущих периодов (040140000)» Баланса (ф.0503120).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По строке 560 «Резервы предстоящих расходов</w:t>
      </w:r>
      <w:r>
        <w:rPr>
          <w:rFonts w:ascii="Times New Roman" w:hAnsi="Times New Roman" w:cs="Times New Roman"/>
          <w:sz w:val="28"/>
          <w:szCs w:val="28"/>
        </w:rPr>
        <w:t>» показатель  в размере 1042313,24 рублей соответствует  изменению остатков по счету 1 40160000 в Сведениях (ф.0503169), по строке 520 «Резервы предстоящих расходов (040160000)» Баланса (ф.0503120).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форме отчетности 121 «Отчет о финансовых результатах деятельности»:</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КОСГУ 172 «Доходы от реализации активов»  в сумме – 15630095,98 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списание приобретаемых квартир для детей сирот и  жилья социального найма с баланса в связи с приватизацией;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выбытие и снятие с учета земельных участков;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реализация имущества;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КОСГУ  173 -  199316,31 рублей –списание дебиторской задолженности, нереальной к взысканию (ОМВД);</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по  КОСГУ 191 – 4685,64 рублей поступление от Министерства образования компьютерные мыши  - 4161,24 рублей, от РЦРО маски – 524,40 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КОСГУ 195 – 19071560,33 рублей безвозмездное поступление земельных участков; основных средств из Министерства образования  - 4453041,01 рублей (МФУ 8 штук – 274325 рублей, ноутбуки 13 штук – 785992,33 рублей, набор для оборудования для ГИА 4 штуки – 142848,24 рублей, учебная лаборатория – 100732,5 рублей, робототехнический набор 6 штук – 1586050 рублей, микроскоп 20 штук – 166690,0 рублей, набор по изучению  закрепленных тем 22 штуки -718032,94 рублей, учебная литература  830 штук -678370 рублей), от сельских советов – котельная Мичуринский с/совет – 1774342,28 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КОСГУ 197 – 236401,43 рублей безвозмездное поступление от физических лиц;</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КОСГУ  199 – 20994984,83 рублей безвозмездные поступления в  казну.</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Расходы в Отчете (ф.0503121) отражены в сумме 910888480,76 рублей Показатели  в разрезе КОСГУ соответствуют суммарным значениям по соответствующим КОСГУ Справки (ф.0503110).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«Отчет о движении денежных средств (ф.0503123) в разделе 1 «Поступления»  по строке 0100 отражена сумма полученного дохода в размере 917809,4 тыс.рублей, расхождений по взаимосвязанному показателю Отчета об исполнении бюджета (ф.0503117) – нет.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разделе 2  «Выбытия» отражено выбытие денежных средств на общую сумму 898726,6 тыс.рублей, сумма выбытия соответствует итоговым показателям, отраженным в Отчете (ф.0503117), Отчете (ф.0503124).</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разделе 3 «Изменения остатков средств» отражен показатель 19082,9 тыс.рублей, что соответствует показателям отраженным в отчете (ф.0503117).</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Показатели </w:t>
      </w:r>
      <w:r>
        <w:rPr>
          <w:rFonts w:ascii="Times New Roman" w:hAnsi="Times New Roman" w:cs="Times New Roman"/>
          <w:i/>
          <w:sz w:val="28"/>
          <w:szCs w:val="28"/>
        </w:rPr>
        <w:t>Справки по консолидируемым расчетам</w:t>
      </w:r>
      <w:r>
        <w:rPr>
          <w:rFonts w:ascii="Times New Roman" w:hAnsi="Times New Roman" w:cs="Times New Roman"/>
          <w:sz w:val="28"/>
          <w:szCs w:val="28"/>
        </w:rPr>
        <w:t xml:space="preserve"> (ф.0503125) формируются в части определения взаимосвязанных показателей по  денежным и неденежным расчетам, составлена с учетом сверки показателей с другими участниками консолидируемых расчетов, по каждому коду счета бюджетного учета.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102 Инструкции № 191 н показатели </w:t>
      </w:r>
      <w:r>
        <w:rPr>
          <w:rFonts w:ascii="Times New Roman" w:hAnsi="Times New Roman" w:cs="Times New Roman"/>
          <w:i/>
          <w:sz w:val="28"/>
          <w:szCs w:val="28"/>
        </w:rPr>
        <w:t>баланса по поступлениям и выбытиям бюджетных средств (ф.0503140)</w:t>
      </w:r>
      <w:r>
        <w:rPr>
          <w:rFonts w:ascii="Times New Roman" w:hAnsi="Times New Roman" w:cs="Times New Roman"/>
          <w:sz w:val="28"/>
          <w:szCs w:val="28"/>
        </w:rPr>
        <w:t xml:space="preserve">  формируются по остаткам бюджетных средств в  разрезе бюджетной деятельности, по средствам во временном распоряжении и итогового  показателя на начало года и конец отчетного периода. Показатели остатка средств по бюджетной деятельности Баланса (ф.0503140) соответствует показателям, отраженным по строен 210 (счет 020210000) Баланса (ф.0503120).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Отчет о бюджетных обязательствах (ф.0503128)  составлен на основании данных о принятии и исполнении бюджетных обязательств в рамках осуществляемой бюджетной деятельности.</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Итоговые показатели по поступлению и выбытию денежных средств, источникам финансирования дефицита бюджета Сведений (ф.0503164) соответствуют взаимосвязанным показателям Отчета (ф.0503117), Отчета (ф.0503124).</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Информация о нефинансовых активах из раздела 1 «Нефинансовые активы» Сведений (ф.0503168)  представлена в  таблице: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(тыс.рублей)</w:t>
      </w:r>
    </w:p>
    <w:tbl>
      <w:tblPr>
        <w:tblStyle w:val="af"/>
        <w:tblW w:w="9571" w:type="dxa"/>
        <w:tblLayout w:type="fixed"/>
        <w:tblLook w:val="04A0" w:firstRow="1" w:lastRow="0" w:firstColumn="1" w:lastColumn="0" w:noHBand="0" w:noVBand="1"/>
      </w:tblPr>
      <w:tblGrid>
        <w:gridCol w:w="2856"/>
        <w:gridCol w:w="1269"/>
        <w:gridCol w:w="1447"/>
        <w:gridCol w:w="1527"/>
        <w:gridCol w:w="1224"/>
        <w:gridCol w:w="1248"/>
      </w:tblGrid>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Вид нефинансовых активов</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Наличие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01.01.2023</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Поступление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(увеличение)</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Выбытие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(уменьшение)</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Наличие на</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01.01.2024</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Изменение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За год</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Основные средства, из них</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48681,1</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23863,2</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24396,8</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48147,5</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-533,6</w:t>
            </w:r>
          </w:p>
        </w:tc>
      </w:tr>
      <w:tr w:rsidR="00B21DFF">
        <w:trPr>
          <w:trHeight w:val="545"/>
        </w:trPr>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Жилые помещения</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14,7</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16646,4</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16646,4</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14,7</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Нежилые помещения (здания и сооружения)</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20491,2</w:t>
            </w:r>
          </w:p>
        </w:tc>
        <w:tc>
          <w:tcPr>
            <w:tcW w:w="1447" w:type="dxa"/>
          </w:tcPr>
          <w:p w:rsidR="00B21DFF" w:rsidRDefault="00B21DFF">
            <w:pPr>
              <w:tabs>
                <w:tab w:val="left" w:pos="-426"/>
              </w:tabs>
              <w:spacing w:after="0" w:line="240" w:lineRule="auto"/>
              <w:jc w:val="both"/>
              <w:rPr>
                <w:rFonts w:ascii="Times New Roman" w:hAnsi="Times New Roman" w:cs="Times New Roman"/>
              </w:rPr>
            </w:pP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2217,0</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18274,2</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-2217,0</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Машины и оборудование</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9062,1</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2941,8</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1560,8</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10443,1</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1381,0</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Транспортные средства</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16519,0</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362,5</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417,9</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16463,,,6</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-55,4</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Инвентарь производственный и хозяйственный</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2436,5</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3234,1</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2854,3</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2816,3</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379,8</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Прочие основные средства</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157,6</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678,4</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700,3</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135,7</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-21,9</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Вложения в основные средства, из них:</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357,8</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22583,5</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22583,5</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357,8</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Недвижимое имущество</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357,8</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16646,4</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16646,4</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357,8</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Иное движимое имущество</w:t>
            </w:r>
          </w:p>
        </w:tc>
        <w:tc>
          <w:tcPr>
            <w:tcW w:w="1269" w:type="dxa"/>
          </w:tcPr>
          <w:p w:rsidR="00B21DFF" w:rsidRDefault="00B21DFF">
            <w:pPr>
              <w:tabs>
                <w:tab w:val="left" w:pos="-426"/>
              </w:tabs>
              <w:spacing w:after="0" w:line="240" w:lineRule="auto"/>
              <w:jc w:val="both"/>
              <w:rPr>
                <w:rFonts w:ascii="Times New Roman" w:hAnsi="Times New Roman" w:cs="Times New Roman"/>
              </w:rPr>
            </w:pP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5937,1</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5937,1</w:t>
            </w:r>
          </w:p>
        </w:tc>
        <w:tc>
          <w:tcPr>
            <w:tcW w:w="1224" w:type="dxa"/>
          </w:tcPr>
          <w:p w:rsidR="00B21DFF" w:rsidRDefault="00B21DFF">
            <w:pPr>
              <w:tabs>
                <w:tab w:val="left" w:pos="-426"/>
              </w:tabs>
              <w:spacing w:after="0" w:line="240" w:lineRule="auto"/>
              <w:jc w:val="both"/>
              <w:rPr>
                <w:rFonts w:ascii="Times New Roman" w:hAnsi="Times New Roman" w:cs="Times New Roman"/>
              </w:rPr>
            </w:pPr>
          </w:p>
        </w:tc>
        <w:tc>
          <w:tcPr>
            <w:tcW w:w="1248" w:type="dxa"/>
          </w:tcPr>
          <w:p w:rsidR="00B21DFF" w:rsidRDefault="00B21DFF">
            <w:pPr>
              <w:tabs>
                <w:tab w:val="left" w:pos="-426"/>
              </w:tabs>
              <w:spacing w:after="0" w:line="240" w:lineRule="auto"/>
              <w:jc w:val="both"/>
              <w:rPr>
                <w:rFonts w:ascii="Times New Roman" w:hAnsi="Times New Roman" w:cs="Times New Roman"/>
              </w:rPr>
            </w:pP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Материальные запасы</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3673,4</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4236,1</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4167,6</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3741,9</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68,5</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Права пользования НМА, из них</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175,9</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45,2</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17,4</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203,7</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27,8</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Права пользования программным обеспечением и базами данных</w:t>
            </w:r>
          </w:p>
        </w:tc>
        <w:tc>
          <w:tcPr>
            <w:tcW w:w="1269" w:type="dxa"/>
          </w:tcPr>
          <w:p w:rsidR="00B21DFF" w:rsidRDefault="00B21DFF">
            <w:pPr>
              <w:tabs>
                <w:tab w:val="left" w:pos="-426"/>
              </w:tabs>
              <w:spacing w:after="0" w:line="240" w:lineRule="auto"/>
              <w:jc w:val="both"/>
              <w:rPr>
                <w:rFonts w:ascii="Times New Roman" w:hAnsi="Times New Roman" w:cs="Times New Roman"/>
              </w:rPr>
            </w:pPr>
          </w:p>
        </w:tc>
        <w:tc>
          <w:tcPr>
            <w:tcW w:w="1447" w:type="dxa"/>
          </w:tcPr>
          <w:p w:rsidR="00B21DFF" w:rsidRDefault="00B21DFF">
            <w:pPr>
              <w:tabs>
                <w:tab w:val="left" w:pos="-426"/>
              </w:tabs>
              <w:spacing w:after="0" w:line="240" w:lineRule="auto"/>
              <w:jc w:val="both"/>
              <w:rPr>
                <w:rFonts w:ascii="Times New Roman" w:hAnsi="Times New Roman" w:cs="Times New Roman"/>
              </w:rPr>
            </w:pPr>
          </w:p>
        </w:tc>
        <w:tc>
          <w:tcPr>
            <w:tcW w:w="1527" w:type="dxa"/>
          </w:tcPr>
          <w:p w:rsidR="00B21DFF" w:rsidRDefault="00B21DFF">
            <w:pPr>
              <w:tabs>
                <w:tab w:val="left" w:pos="-426"/>
              </w:tabs>
              <w:spacing w:after="0" w:line="240" w:lineRule="auto"/>
              <w:jc w:val="both"/>
              <w:rPr>
                <w:rFonts w:ascii="Times New Roman" w:hAnsi="Times New Roman" w:cs="Times New Roman"/>
              </w:rPr>
            </w:pPr>
          </w:p>
        </w:tc>
        <w:tc>
          <w:tcPr>
            <w:tcW w:w="1224" w:type="dxa"/>
          </w:tcPr>
          <w:p w:rsidR="00B21DFF" w:rsidRDefault="00B21DFF">
            <w:pPr>
              <w:tabs>
                <w:tab w:val="left" w:pos="-426"/>
              </w:tabs>
              <w:spacing w:after="0" w:line="240" w:lineRule="auto"/>
              <w:jc w:val="both"/>
              <w:rPr>
                <w:rFonts w:ascii="Times New Roman" w:hAnsi="Times New Roman" w:cs="Times New Roman"/>
              </w:rPr>
            </w:pPr>
          </w:p>
        </w:tc>
        <w:tc>
          <w:tcPr>
            <w:tcW w:w="1248" w:type="dxa"/>
          </w:tcPr>
          <w:p w:rsidR="00B21DFF" w:rsidRDefault="00B21DFF">
            <w:pPr>
              <w:tabs>
                <w:tab w:val="left" w:pos="-426"/>
              </w:tabs>
              <w:spacing w:after="0" w:line="240" w:lineRule="auto"/>
              <w:jc w:val="both"/>
              <w:rPr>
                <w:rFonts w:ascii="Times New Roman" w:hAnsi="Times New Roman" w:cs="Times New Roman"/>
              </w:rPr>
            </w:pP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Непроизведенные активы, из них:</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370223,7</w:t>
            </w:r>
          </w:p>
        </w:tc>
        <w:tc>
          <w:tcPr>
            <w:tcW w:w="1447" w:type="dxa"/>
          </w:tcPr>
          <w:p w:rsidR="00B21DFF" w:rsidRDefault="00B21DFF">
            <w:pPr>
              <w:tabs>
                <w:tab w:val="left" w:pos="-426"/>
              </w:tabs>
              <w:spacing w:after="0" w:line="240" w:lineRule="auto"/>
              <w:jc w:val="both"/>
              <w:rPr>
                <w:rFonts w:ascii="Times New Roman" w:hAnsi="Times New Roman" w:cs="Times New Roman"/>
              </w:rPr>
            </w:pP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360674,2</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9549,5</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-360674,2</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земля</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370223,7</w:t>
            </w:r>
          </w:p>
        </w:tc>
        <w:tc>
          <w:tcPr>
            <w:tcW w:w="1447" w:type="dxa"/>
          </w:tcPr>
          <w:p w:rsidR="00B21DFF" w:rsidRDefault="00B21DFF">
            <w:pPr>
              <w:tabs>
                <w:tab w:val="left" w:pos="-426"/>
              </w:tabs>
              <w:spacing w:after="0" w:line="240" w:lineRule="auto"/>
              <w:jc w:val="both"/>
              <w:rPr>
                <w:rFonts w:ascii="Times New Roman" w:hAnsi="Times New Roman" w:cs="Times New Roman"/>
              </w:rPr>
            </w:pP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3606674,2</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9549,5</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-360674,2</w:t>
            </w:r>
          </w:p>
        </w:tc>
      </w:tr>
      <w:tr w:rsidR="00B21DFF">
        <w:tc>
          <w:tcPr>
            <w:tcW w:w="2855"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Прочие непроизведенные активы</w:t>
            </w:r>
          </w:p>
        </w:tc>
        <w:tc>
          <w:tcPr>
            <w:tcW w:w="1269" w:type="dxa"/>
          </w:tcPr>
          <w:p w:rsidR="00B21DFF" w:rsidRDefault="00B21DFF">
            <w:pPr>
              <w:tabs>
                <w:tab w:val="left" w:pos="-426"/>
              </w:tabs>
              <w:spacing w:after="0" w:line="240" w:lineRule="auto"/>
              <w:jc w:val="both"/>
              <w:rPr>
                <w:rFonts w:ascii="Times New Roman" w:hAnsi="Times New Roman" w:cs="Times New Roman"/>
              </w:rPr>
            </w:pP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360910,6</w:t>
            </w:r>
          </w:p>
        </w:tc>
        <w:tc>
          <w:tcPr>
            <w:tcW w:w="152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236,4</w:t>
            </w:r>
          </w:p>
        </w:tc>
        <w:tc>
          <w:tcPr>
            <w:tcW w:w="122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360674,2</w:t>
            </w:r>
          </w:p>
        </w:tc>
        <w:tc>
          <w:tcPr>
            <w:tcW w:w="124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360674,2</w:t>
            </w: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 Сведениям (ф.0503168) в течение отчетного периода  суммарная балансовая  стоимость основных средств уменьшилась на 533,6 тыс.рублей и составила 48147,5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010 «Основные средства» поступление «увеличение на сумму 23863,2 тыс.рублей. Показатель по строке 010 «Основные средства» выбытие «уменьшение» на сумму 24396,8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Показатель по строке 070 «Вложения в основные средства» без изменения и составляет 357,8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150»Непроизведенные активы» по состоянию на 01.01.2024 составляет 370223,7 тыс.рублей, изменений по сравнению с прошлым годом нет.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190 «Материальные запасы» по состоянию на 01.01.2024 года составляет 3741,9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290 «Право пользования нематериальными актива» по состоянию на 01.01.2024 составляет 203,7 тыс.рублей,  увеличение на 45,2 тыс.рублей, уменьшение на 17,4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Информация о нефинансовых активах составляющих имущество казны представлена в таблице.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Таблица (тыс.рублей)</w:t>
      </w:r>
    </w:p>
    <w:tbl>
      <w:tblPr>
        <w:tblStyle w:val="af"/>
        <w:tblW w:w="9571" w:type="dxa"/>
        <w:tblLayout w:type="fixed"/>
        <w:tblLook w:val="04A0" w:firstRow="1" w:lastRow="0" w:firstColumn="1" w:lastColumn="0" w:noHBand="0" w:noVBand="1"/>
      </w:tblPr>
      <w:tblGrid>
        <w:gridCol w:w="2751"/>
        <w:gridCol w:w="1269"/>
        <w:gridCol w:w="1447"/>
        <w:gridCol w:w="1529"/>
        <w:gridCol w:w="1268"/>
        <w:gridCol w:w="1307"/>
      </w:tblGrid>
      <w:tr w:rsidR="00B21DFF">
        <w:tc>
          <w:tcPr>
            <w:tcW w:w="2750"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Вид нефинансовых активов</w:t>
            </w:r>
          </w:p>
        </w:tc>
        <w:tc>
          <w:tcPr>
            <w:tcW w:w="126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Наличие на</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01.01.2023</w:t>
            </w:r>
          </w:p>
        </w:tc>
        <w:tc>
          <w:tcPr>
            <w:tcW w:w="144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Поступление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(увеличение)</w:t>
            </w:r>
          </w:p>
        </w:tc>
        <w:tc>
          <w:tcPr>
            <w:tcW w:w="1529"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Выбытие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(уменьшение)</w:t>
            </w:r>
          </w:p>
        </w:tc>
        <w:tc>
          <w:tcPr>
            <w:tcW w:w="1268"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Наличие на</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01.01.2024</w:t>
            </w:r>
          </w:p>
        </w:tc>
        <w:tc>
          <w:tcPr>
            <w:tcW w:w="1307"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Изменение  за год</w:t>
            </w:r>
          </w:p>
        </w:tc>
      </w:tr>
      <w:tr w:rsidR="00B21DFF">
        <w:tc>
          <w:tcPr>
            <w:tcW w:w="2750"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Недвижимое имущество в составе имущества казны</w:t>
            </w:r>
          </w:p>
        </w:tc>
        <w:tc>
          <w:tcPr>
            <w:tcW w:w="1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114819,0</w:t>
            </w:r>
          </w:p>
        </w:tc>
        <w:tc>
          <w:tcPr>
            <w:tcW w:w="144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36025,9</w:t>
            </w:r>
          </w:p>
        </w:tc>
        <w:tc>
          <w:tcPr>
            <w:tcW w:w="15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31812,5</w:t>
            </w:r>
          </w:p>
        </w:tc>
        <w:tc>
          <w:tcPr>
            <w:tcW w:w="126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119032,5</w:t>
            </w:r>
          </w:p>
        </w:tc>
        <w:tc>
          <w:tcPr>
            <w:tcW w:w="130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4213,5</w:t>
            </w:r>
          </w:p>
        </w:tc>
      </w:tr>
      <w:tr w:rsidR="00B21DFF">
        <w:tc>
          <w:tcPr>
            <w:tcW w:w="2750"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Движимое имущество в составе имущества казны</w:t>
            </w:r>
          </w:p>
        </w:tc>
        <w:tc>
          <w:tcPr>
            <w:tcW w:w="1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1414,8</w:t>
            </w:r>
          </w:p>
        </w:tc>
        <w:tc>
          <w:tcPr>
            <w:tcW w:w="144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4729,7</w:t>
            </w:r>
          </w:p>
        </w:tc>
        <w:tc>
          <w:tcPr>
            <w:tcW w:w="15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5974,7</w:t>
            </w:r>
          </w:p>
        </w:tc>
        <w:tc>
          <w:tcPr>
            <w:tcW w:w="126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169,8</w:t>
            </w:r>
          </w:p>
        </w:tc>
        <w:tc>
          <w:tcPr>
            <w:tcW w:w="130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-1245,0</w:t>
            </w:r>
          </w:p>
        </w:tc>
      </w:tr>
      <w:tr w:rsidR="00B21DFF">
        <w:tc>
          <w:tcPr>
            <w:tcW w:w="2750"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Непроизведенные активы в составе имущества казны</w:t>
            </w:r>
          </w:p>
        </w:tc>
        <w:tc>
          <w:tcPr>
            <w:tcW w:w="126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81686,7</w:t>
            </w:r>
          </w:p>
        </w:tc>
        <w:tc>
          <w:tcPr>
            <w:tcW w:w="144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1044,5</w:t>
            </w:r>
          </w:p>
        </w:tc>
        <w:tc>
          <w:tcPr>
            <w:tcW w:w="1529"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3802,3</w:t>
            </w:r>
          </w:p>
        </w:tc>
        <w:tc>
          <w:tcPr>
            <w:tcW w:w="1268"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78928,8</w:t>
            </w:r>
          </w:p>
        </w:tc>
        <w:tc>
          <w:tcPr>
            <w:tcW w:w="1307"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-2757,9</w:t>
            </w:r>
          </w:p>
        </w:tc>
      </w:tr>
    </w:tbl>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 сведениям (ф.0503168) в течение отчетного периода суммарная балансовая стоимость имущества казны увеличилась на 1492,2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400 «Недвижимое имущество в составе имущества казны поступление (увеличение) – 36025,9 тыс.рублей,  в том числе: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- 28412,8 тыс.рублей поступление в имущество казны приобретенных</w:t>
      </w:r>
      <w:r>
        <w:rPr>
          <w:rFonts w:ascii="Times New Roman" w:hAnsi="Times New Roman" w:cs="Times New Roman"/>
          <w:sz w:val="28"/>
          <w:szCs w:val="28"/>
        </w:rPr>
        <w:tab/>
        <w:t xml:space="preserve"> квартир для детей-сирот и отдельных  категорий граждан;</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- 2902,2  тыс.рублей безвозмездная передача из МО мичуринский с/совет к казну «Котельная блочная»;</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- 1254,5 тыс.рублей безвозмездная передача от ММООО «Акбулакская районная служба ЖКХ» канализационная напорная сеть;</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- 1239,4 тыс.рублей безвозмездная  передача от ММООО «Акбулакская районная служба ЖКХ» не жилое здание;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- 1406,8 тыс.рублей передача в казну с  баланса администрации  Акбулакского района детского сада;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- 810,2 тыс.рублей передача в  казну с баланса администрации Акбулакского района «Стелла информационная».</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400 «Недвижимое имущество в составе имущества казны» выбытие (уменьшение) – 31812,5 тыс.рублей, в том числе: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- 17198,0 тыс.рублей переданы в  собственность граждан 17 квартир;</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- 8922,4 тыс.рублей передано в Акбулакский поссовет «Детский сад»,</w:t>
      </w:r>
      <w:r>
        <w:rPr>
          <w:rFonts w:ascii="Times New Roman" w:hAnsi="Times New Roman" w:cs="Times New Roman"/>
          <w:sz w:val="28"/>
          <w:szCs w:val="28"/>
        </w:rPr>
        <w:tab/>
        <w:t xml:space="preserve"> канализационная напорная сеть,  Поля фильтрации канализ.напорной сети, нежилое здание.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- 1774,3 тыс.рублей передано в Мичуринский с/совет котельная;</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- 3917,8 списание амортизации.</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440 «Движимое имущество в составе имущества казны» поступление (увеличение)</w:t>
      </w:r>
      <w:r>
        <w:rPr>
          <w:rFonts w:ascii="Times New Roman" w:hAnsi="Times New Roman" w:cs="Times New Roman"/>
          <w:sz w:val="28"/>
          <w:szCs w:val="28"/>
        </w:rPr>
        <w:tab/>
        <w:t>4729,7 тыс.рублей – оприходовано иное движимое имущество в связи с ликвидацией МУП «ЮГ-Информ».</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«Движимое имущество в составе имущества казны» выбытие (уменьшение) на 5974,7 тыс.рублей -  передача движимого  имущества в  образовательные учреждения, Акбулакский поссовет.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510 «Непроизведенные активы в составе имущества казны» поступление (увеличение) на 1044,4 тыс.рублей  -  земельные участки приобретенные под жильем.</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Показатель по строке 510 «Непроизведенные активы в составе имущества казны» выбытие (уменьшение) на 3802,4 тыс.рублей – передача земельного участка в Акбулакский поссовет (3440,8 тыс.рублей),  списание земельных участков в связи с передачей в собственность и переоценкой.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Показатели обесценения основных средств, нематериальных активов  в отчетном периоде отсутствуют.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Сведения по </w:t>
      </w:r>
      <w:r>
        <w:rPr>
          <w:rFonts w:ascii="Times New Roman" w:hAnsi="Times New Roman" w:cs="Times New Roman"/>
          <w:i/>
          <w:sz w:val="28"/>
          <w:szCs w:val="28"/>
        </w:rPr>
        <w:t>дебиторской и кредиторской задолженности (ф.0503169</w:t>
      </w:r>
      <w:r>
        <w:rPr>
          <w:rFonts w:ascii="Times New Roman" w:hAnsi="Times New Roman" w:cs="Times New Roman"/>
          <w:sz w:val="28"/>
          <w:szCs w:val="28"/>
        </w:rPr>
        <w:t>) соответствуют показателям Баланса (ф.0503120).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Таблица (тыс.рублей)</w:t>
      </w:r>
    </w:p>
    <w:tbl>
      <w:tblPr>
        <w:tblStyle w:val="af"/>
        <w:tblW w:w="10173" w:type="dxa"/>
        <w:tblLayout w:type="fixed"/>
        <w:tblLook w:val="04A0" w:firstRow="1" w:lastRow="0" w:firstColumn="1" w:lastColumn="0" w:noHBand="0" w:noVBand="1"/>
      </w:tblPr>
      <w:tblGrid>
        <w:gridCol w:w="1715"/>
        <w:gridCol w:w="980"/>
        <w:gridCol w:w="981"/>
        <w:gridCol w:w="923"/>
        <w:gridCol w:w="980"/>
        <w:gridCol w:w="1079"/>
        <w:gridCol w:w="921"/>
        <w:gridCol w:w="892"/>
        <w:gridCol w:w="851"/>
        <w:gridCol w:w="851"/>
      </w:tblGrid>
      <w:tr w:rsidR="00B21DFF">
        <w:tc>
          <w:tcPr>
            <w:tcW w:w="1714" w:type="dxa"/>
            <w:tcBorders>
              <w:bottom w:val="nil"/>
            </w:tcBorders>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Счета</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бюджетного</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учета</w:t>
            </w:r>
          </w:p>
          <w:p w:rsidR="00B21DFF" w:rsidRDefault="00B21DFF">
            <w:pPr>
              <w:tabs>
                <w:tab w:val="left" w:pos="-426"/>
              </w:tabs>
              <w:spacing w:after="0" w:line="240" w:lineRule="auto"/>
              <w:jc w:val="both"/>
              <w:rPr>
                <w:rFonts w:ascii="Times New Roman" w:hAnsi="Times New Roman" w:cs="Times New Roman"/>
              </w:rPr>
            </w:pPr>
          </w:p>
        </w:tc>
        <w:tc>
          <w:tcPr>
            <w:tcW w:w="2884" w:type="dxa"/>
            <w:gridSpan w:val="3"/>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Дебиторская задолженность</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01.01.2023</w:t>
            </w:r>
          </w:p>
        </w:tc>
        <w:tc>
          <w:tcPr>
            <w:tcW w:w="2980" w:type="dxa"/>
            <w:gridSpan w:val="3"/>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Дебиторская задолженность</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01.01.2024</w:t>
            </w:r>
          </w:p>
        </w:tc>
        <w:tc>
          <w:tcPr>
            <w:tcW w:w="2594" w:type="dxa"/>
            <w:gridSpan w:val="3"/>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Изменение дебиторской</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задолжен</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ности</w:t>
            </w:r>
          </w:p>
        </w:tc>
      </w:tr>
      <w:tr w:rsidR="00B21DFF">
        <w:tc>
          <w:tcPr>
            <w:tcW w:w="1714" w:type="dxa"/>
            <w:tcBorders>
              <w:top w:val="nil"/>
              <w:bottom w:val="nil"/>
            </w:tcBorders>
          </w:tcPr>
          <w:p w:rsidR="00B21DFF" w:rsidRDefault="00B21DFF">
            <w:pPr>
              <w:tabs>
                <w:tab w:val="left" w:pos="-426"/>
              </w:tabs>
              <w:spacing w:after="0" w:line="240" w:lineRule="auto"/>
              <w:jc w:val="both"/>
              <w:rPr>
                <w:rFonts w:ascii="Times New Roman" w:hAnsi="Times New Roman" w:cs="Times New Roman"/>
              </w:rPr>
            </w:pPr>
          </w:p>
        </w:tc>
        <w:tc>
          <w:tcPr>
            <w:tcW w:w="980" w:type="dxa"/>
            <w:tcBorders>
              <w:bottom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Всего</w:t>
            </w:r>
          </w:p>
        </w:tc>
        <w:tc>
          <w:tcPr>
            <w:tcW w:w="981" w:type="dxa"/>
            <w:tcBorders>
              <w:right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Из них</w:t>
            </w:r>
          </w:p>
        </w:tc>
        <w:tc>
          <w:tcPr>
            <w:tcW w:w="923" w:type="dxa"/>
            <w:tcBorders>
              <w:left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Borders>
              <w:bottom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Всего</w:t>
            </w:r>
          </w:p>
        </w:tc>
        <w:tc>
          <w:tcPr>
            <w:tcW w:w="1079" w:type="dxa"/>
            <w:tcBorders>
              <w:right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Из них</w:t>
            </w:r>
          </w:p>
        </w:tc>
        <w:tc>
          <w:tcPr>
            <w:tcW w:w="921" w:type="dxa"/>
            <w:tcBorders>
              <w:left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Borders>
              <w:bottom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Всего</w:t>
            </w:r>
          </w:p>
        </w:tc>
        <w:tc>
          <w:tcPr>
            <w:tcW w:w="851" w:type="dxa"/>
            <w:tcBorders>
              <w:right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Из них</w:t>
            </w:r>
          </w:p>
        </w:tc>
        <w:tc>
          <w:tcPr>
            <w:tcW w:w="851" w:type="dxa"/>
            <w:tcBorders>
              <w:left w:val="nil"/>
            </w:tcBorders>
          </w:tcPr>
          <w:p w:rsidR="00B21DFF" w:rsidRDefault="00B21DFF">
            <w:pPr>
              <w:tabs>
                <w:tab w:val="left" w:pos="-426"/>
              </w:tabs>
              <w:spacing w:after="0" w:line="240" w:lineRule="auto"/>
              <w:jc w:val="both"/>
              <w:rPr>
                <w:rFonts w:ascii="Times New Roman" w:hAnsi="Times New Roman" w:cs="Times New Roman"/>
                <w:sz w:val="20"/>
                <w:szCs w:val="20"/>
              </w:rPr>
            </w:pPr>
          </w:p>
        </w:tc>
      </w:tr>
      <w:tr w:rsidR="00B21DFF">
        <w:tc>
          <w:tcPr>
            <w:tcW w:w="1714" w:type="dxa"/>
            <w:tcBorders>
              <w:top w:val="nil"/>
            </w:tcBorders>
          </w:tcPr>
          <w:p w:rsidR="00B21DFF" w:rsidRDefault="00B21DFF">
            <w:pPr>
              <w:tabs>
                <w:tab w:val="left" w:pos="-426"/>
              </w:tabs>
              <w:spacing w:after="0" w:line="240" w:lineRule="auto"/>
              <w:jc w:val="both"/>
              <w:rPr>
                <w:rFonts w:ascii="Times New Roman" w:hAnsi="Times New Roman" w:cs="Times New Roman"/>
              </w:rPr>
            </w:pPr>
          </w:p>
        </w:tc>
        <w:tc>
          <w:tcPr>
            <w:tcW w:w="980" w:type="dxa"/>
            <w:tcBorders>
              <w:top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98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Долгоср.</w:t>
            </w:r>
          </w:p>
        </w:tc>
        <w:tc>
          <w:tcPr>
            <w:tcW w:w="923"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Просроч.</w:t>
            </w:r>
          </w:p>
        </w:tc>
        <w:tc>
          <w:tcPr>
            <w:tcW w:w="980" w:type="dxa"/>
            <w:tcBorders>
              <w:top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1079"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Долгосроч.</w:t>
            </w:r>
          </w:p>
        </w:tc>
        <w:tc>
          <w:tcPr>
            <w:tcW w:w="92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Просроч.</w:t>
            </w:r>
          </w:p>
        </w:tc>
        <w:tc>
          <w:tcPr>
            <w:tcW w:w="892" w:type="dxa"/>
            <w:tcBorders>
              <w:top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Долгосроч.</w:t>
            </w:r>
          </w:p>
        </w:tc>
        <w:tc>
          <w:tcPr>
            <w:tcW w:w="8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Просроч.</w:t>
            </w:r>
          </w:p>
        </w:tc>
      </w:tr>
      <w:tr w:rsidR="00B21DFF">
        <w:tc>
          <w:tcPr>
            <w:tcW w:w="171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98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923"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079"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92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85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p>
        </w:tc>
        <w:tc>
          <w:tcPr>
            <w:tcW w:w="8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r>
      <w:tr w:rsidR="00B21DFF">
        <w:tc>
          <w:tcPr>
            <w:tcW w:w="171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120500000</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«Расчеты по доходам»</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2187871,5</w:t>
            </w:r>
          </w:p>
        </w:tc>
        <w:tc>
          <w:tcPr>
            <w:tcW w:w="98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1385618,4</w:t>
            </w:r>
          </w:p>
        </w:tc>
        <w:tc>
          <w:tcPr>
            <w:tcW w:w="923"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4214,2</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2301198,4</w:t>
            </w:r>
          </w:p>
        </w:tc>
        <w:tc>
          <w:tcPr>
            <w:tcW w:w="1079"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1488650,7</w:t>
            </w:r>
          </w:p>
        </w:tc>
        <w:tc>
          <w:tcPr>
            <w:tcW w:w="92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3886,6</w:t>
            </w: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113326,9</w:t>
            </w:r>
          </w:p>
        </w:tc>
        <w:tc>
          <w:tcPr>
            <w:tcW w:w="85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103032,3</w:t>
            </w:r>
          </w:p>
        </w:tc>
        <w:tc>
          <w:tcPr>
            <w:tcW w:w="85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-327,6</w:t>
            </w:r>
          </w:p>
        </w:tc>
      </w:tr>
      <w:tr w:rsidR="00B21DFF">
        <w:tc>
          <w:tcPr>
            <w:tcW w:w="171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120600000</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«Расчеты по выданным авансам»</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0,7</w:t>
            </w:r>
          </w:p>
        </w:tc>
        <w:tc>
          <w:tcPr>
            <w:tcW w:w="98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3"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p>
        </w:tc>
        <w:tc>
          <w:tcPr>
            <w:tcW w:w="1079"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0,7</w:t>
            </w:r>
          </w:p>
        </w:tc>
        <w:tc>
          <w:tcPr>
            <w:tcW w:w="85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B21DFF">
            <w:pPr>
              <w:tabs>
                <w:tab w:val="left" w:pos="-426"/>
              </w:tabs>
              <w:spacing w:after="0" w:line="240" w:lineRule="auto"/>
              <w:jc w:val="both"/>
              <w:rPr>
                <w:rFonts w:ascii="Times New Roman" w:hAnsi="Times New Roman" w:cs="Times New Roman"/>
              </w:rPr>
            </w:pPr>
          </w:p>
        </w:tc>
      </w:tr>
      <w:tr w:rsidR="00B21DFF">
        <w:tc>
          <w:tcPr>
            <w:tcW w:w="1714" w:type="dxa"/>
          </w:tcPr>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120800000</w:t>
            </w:r>
          </w:p>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Расчеты с</w:t>
            </w:r>
          </w:p>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подотчётными</w:t>
            </w:r>
          </w:p>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лицами</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98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3"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44,8</w:t>
            </w:r>
          </w:p>
        </w:tc>
        <w:tc>
          <w:tcPr>
            <w:tcW w:w="1079"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44,8</w:t>
            </w:r>
          </w:p>
        </w:tc>
        <w:tc>
          <w:tcPr>
            <w:tcW w:w="85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B21DFF">
            <w:pPr>
              <w:tabs>
                <w:tab w:val="left" w:pos="-426"/>
              </w:tabs>
              <w:spacing w:after="0" w:line="240" w:lineRule="auto"/>
              <w:jc w:val="both"/>
              <w:rPr>
                <w:rFonts w:ascii="Times New Roman" w:hAnsi="Times New Roman" w:cs="Times New Roman"/>
              </w:rPr>
            </w:pPr>
          </w:p>
        </w:tc>
      </w:tr>
      <w:tr w:rsidR="00B21DFF">
        <w:tc>
          <w:tcPr>
            <w:tcW w:w="1714" w:type="dxa"/>
          </w:tcPr>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2187872,2</w:t>
            </w:r>
          </w:p>
        </w:tc>
        <w:tc>
          <w:tcPr>
            <w:tcW w:w="98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1385618,4</w:t>
            </w:r>
          </w:p>
        </w:tc>
        <w:tc>
          <w:tcPr>
            <w:tcW w:w="923"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4214,2</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2301244,6</w:t>
            </w:r>
          </w:p>
        </w:tc>
        <w:tc>
          <w:tcPr>
            <w:tcW w:w="1079"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1488650,7</w:t>
            </w:r>
          </w:p>
        </w:tc>
        <w:tc>
          <w:tcPr>
            <w:tcW w:w="92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3886,6</w:t>
            </w: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113372,4</w:t>
            </w:r>
          </w:p>
        </w:tc>
        <w:tc>
          <w:tcPr>
            <w:tcW w:w="85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103032,3</w:t>
            </w:r>
          </w:p>
        </w:tc>
        <w:tc>
          <w:tcPr>
            <w:tcW w:w="85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-327,6</w:t>
            </w:r>
          </w:p>
        </w:tc>
      </w:tr>
    </w:tbl>
    <w:p w:rsidR="00B21DFF" w:rsidRDefault="00B21DFF">
      <w:pPr>
        <w:tabs>
          <w:tab w:val="left" w:pos="-426"/>
        </w:tabs>
        <w:spacing w:after="0"/>
        <w:jc w:val="both"/>
        <w:rPr>
          <w:rFonts w:ascii="Times New Roman" w:hAnsi="Times New Roman" w:cs="Times New Roman"/>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Дебиторская задолженность</w:t>
      </w:r>
      <w:r>
        <w:rPr>
          <w:rFonts w:ascii="Times New Roman" w:hAnsi="Times New Roman" w:cs="Times New Roman"/>
          <w:sz w:val="28"/>
          <w:szCs w:val="28"/>
        </w:rPr>
        <w:t xml:space="preserve">  на  конец отчетного периода составила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2301244,6 тыс.рублей, включая долгосрочную 1488650,7 тыс.рублей (по состоянию на 01.01.2023 составляла 2187872,2 тыс.рублей, увеличение по отношению к предыдущему отчетному периоду составило  113372,4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Информация о структуре и динамике кредиторской задолженности по счетам бюджетного учета на основании сведений (ф.0503169) представлена в  таблице.                                                                    Таблица (тыс.рублей)</w:t>
      </w:r>
    </w:p>
    <w:tbl>
      <w:tblPr>
        <w:tblStyle w:val="af"/>
        <w:tblW w:w="10173" w:type="dxa"/>
        <w:tblLayout w:type="fixed"/>
        <w:tblLook w:val="04A0" w:firstRow="1" w:lastRow="0" w:firstColumn="1" w:lastColumn="0" w:noHBand="0" w:noVBand="1"/>
      </w:tblPr>
      <w:tblGrid>
        <w:gridCol w:w="1715"/>
        <w:gridCol w:w="980"/>
        <w:gridCol w:w="981"/>
        <w:gridCol w:w="923"/>
        <w:gridCol w:w="980"/>
        <w:gridCol w:w="1079"/>
        <w:gridCol w:w="921"/>
        <w:gridCol w:w="892"/>
        <w:gridCol w:w="851"/>
        <w:gridCol w:w="851"/>
      </w:tblGrid>
      <w:tr w:rsidR="00B21DFF">
        <w:tc>
          <w:tcPr>
            <w:tcW w:w="1714" w:type="dxa"/>
            <w:tcBorders>
              <w:bottom w:val="nil"/>
            </w:tcBorders>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Счета</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бюджетного</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учета</w:t>
            </w:r>
          </w:p>
          <w:p w:rsidR="00B21DFF" w:rsidRDefault="00B21DFF">
            <w:pPr>
              <w:tabs>
                <w:tab w:val="left" w:pos="-426"/>
              </w:tabs>
              <w:spacing w:after="0" w:line="240" w:lineRule="auto"/>
              <w:jc w:val="both"/>
              <w:rPr>
                <w:rFonts w:ascii="Times New Roman" w:hAnsi="Times New Roman" w:cs="Times New Roman"/>
              </w:rPr>
            </w:pPr>
          </w:p>
        </w:tc>
        <w:tc>
          <w:tcPr>
            <w:tcW w:w="2884" w:type="dxa"/>
            <w:gridSpan w:val="3"/>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Кредиторская задолженность</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01.01.2023</w:t>
            </w:r>
          </w:p>
        </w:tc>
        <w:tc>
          <w:tcPr>
            <w:tcW w:w="2980" w:type="dxa"/>
            <w:gridSpan w:val="3"/>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Кредиторская задолженность</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на 01.01.2024</w:t>
            </w:r>
          </w:p>
        </w:tc>
        <w:tc>
          <w:tcPr>
            <w:tcW w:w="2594" w:type="dxa"/>
            <w:gridSpan w:val="3"/>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Изменение  кредиторской</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задолженности</w:t>
            </w:r>
          </w:p>
        </w:tc>
      </w:tr>
      <w:tr w:rsidR="00B21DFF">
        <w:tc>
          <w:tcPr>
            <w:tcW w:w="1714" w:type="dxa"/>
            <w:tcBorders>
              <w:top w:val="nil"/>
              <w:bottom w:val="nil"/>
            </w:tcBorders>
          </w:tcPr>
          <w:p w:rsidR="00B21DFF" w:rsidRDefault="00B21DFF">
            <w:pPr>
              <w:tabs>
                <w:tab w:val="left" w:pos="-426"/>
              </w:tabs>
              <w:spacing w:after="0" w:line="240" w:lineRule="auto"/>
              <w:jc w:val="both"/>
              <w:rPr>
                <w:rFonts w:ascii="Times New Roman" w:hAnsi="Times New Roman" w:cs="Times New Roman"/>
              </w:rPr>
            </w:pPr>
          </w:p>
        </w:tc>
        <w:tc>
          <w:tcPr>
            <w:tcW w:w="980" w:type="dxa"/>
            <w:tcBorders>
              <w:bottom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Всего</w:t>
            </w:r>
          </w:p>
        </w:tc>
        <w:tc>
          <w:tcPr>
            <w:tcW w:w="981" w:type="dxa"/>
            <w:tcBorders>
              <w:right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Из них</w:t>
            </w:r>
          </w:p>
        </w:tc>
        <w:tc>
          <w:tcPr>
            <w:tcW w:w="923" w:type="dxa"/>
            <w:tcBorders>
              <w:left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Borders>
              <w:bottom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Всего</w:t>
            </w:r>
          </w:p>
        </w:tc>
        <w:tc>
          <w:tcPr>
            <w:tcW w:w="1079" w:type="dxa"/>
            <w:tcBorders>
              <w:right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Из них</w:t>
            </w:r>
          </w:p>
        </w:tc>
        <w:tc>
          <w:tcPr>
            <w:tcW w:w="921" w:type="dxa"/>
            <w:tcBorders>
              <w:left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Borders>
              <w:bottom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Всего</w:t>
            </w:r>
          </w:p>
        </w:tc>
        <w:tc>
          <w:tcPr>
            <w:tcW w:w="851" w:type="dxa"/>
            <w:tcBorders>
              <w:right w:val="nil"/>
            </w:tcBorders>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Из них</w:t>
            </w:r>
          </w:p>
        </w:tc>
        <w:tc>
          <w:tcPr>
            <w:tcW w:w="851" w:type="dxa"/>
            <w:tcBorders>
              <w:left w:val="nil"/>
            </w:tcBorders>
          </w:tcPr>
          <w:p w:rsidR="00B21DFF" w:rsidRDefault="00B21DFF">
            <w:pPr>
              <w:tabs>
                <w:tab w:val="left" w:pos="-426"/>
              </w:tabs>
              <w:spacing w:after="0" w:line="240" w:lineRule="auto"/>
              <w:jc w:val="both"/>
              <w:rPr>
                <w:rFonts w:ascii="Times New Roman" w:hAnsi="Times New Roman" w:cs="Times New Roman"/>
                <w:sz w:val="20"/>
                <w:szCs w:val="20"/>
              </w:rPr>
            </w:pPr>
          </w:p>
        </w:tc>
      </w:tr>
      <w:tr w:rsidR="00B21DFF">
        <w:tc>
          <w:tcPr>
            <w:tcW w:w="1714" w:type="dxa"/>
            <w:tcBorders>
              <w:top w:val="nil"/>
            </w:tcBorders>
          </w:tcPr>
          <w:p w:rsidR="00B21DFF" w:rsidRDefault="00B21DFF">
            <w:pPr>
              <w:tabs>
                <w:tab w:val="left" w:pos="-426"/>
              </w:tabs>
              <w:spacing w:after="0" w:line="240" w:lineRule="auto"/>
              <w:jc w:val="both"/>
              <w:rPr>
                <w:rFonts w:ascii="Times New Roman" w:hAnsi="Times New Roman" w:cs="Times New Roman"/>
              </w:rPr>
            </w:pPr>
          </w:p>
        </w:tc>
        <w:tc>
          <w:tcPr>
            <w:tcW w:w="980" w:type="dxa"/>
            <w:tcBorders>
              <w:top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98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Долгоср.</w:t>
            </w:r>
          </w:p>
        </w:tc>
        <w:tc>
          <w:tcPr>
            <w:tcW w:w="923"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Просроч.</w:t>
            </w:r>
          </w:p>
        </w:tc>
        <w:tc>
          <w:tcPr>
            <w:tcW w:w="980" w:type="dxa"/>
            <w:tcBorders>
              <w:top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1079"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Долгосроч.</w:t>
            </w:r>
          </w:p>
        </w:tc>
        <w:tc>
          <w:tcPr>
            <w:tcW w:w="92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Просроч.</w:t>
            </w:r>
          </w:p>
        </w:tc>
        <w:tc>
          <w:tcPr>
            <w:tcW w:w="892" w:type="dxa"/>
            <w:tcBorders>
              <w:top w:val="nil"/>
            </w:tcBorders>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Долгосроч.</w:t>
            </w:r>
          </w:p>
        </w:tc>
        <w:tc>
          <w:tcPr>
            <w:tcW w:w="8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Просроч.</w:t>
            </w:r>
          </w:p>
        </w:tc>
      </w:tr>
      <w:tr w:rsidR="00B21DFF">
        <w:tc>
          <w:tcPr>
            <w:tcW w:w="1714" w:type="dxa"/>
          </w:tcPr>
          <w:p w:rsidR="00B21DFF" w:rsidRDefault="008F18B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98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923"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079"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92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851"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p>
        </w:tc>
        <w:tc>
          <w:tcPr>
            <w:tcW w:w="851"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r>
      <w:tr w:rsidR="00B21DFF">
        <w:tc>
          <w:tcPr>
            <w:tcW w:w="171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130200000</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«Расчеты по принятым обязательствам»</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594,4</w:t>
            </w:r>
          </w:p>
        </w:tc>
        <w:tc>
          <w:tcPr>
            <w:tcW w:w="98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3"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3,0</w:t>
            </w:r>
          </w:p>
        </w:tc>
        <w:tc>
          <w:tcPr>
            <w:tcW w:w="1079"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-5941,4</w:t>
            </w:r>
          </w:p>
        </w:tc>
        <w:tc>
          <w:tcPr>
            <w:tcW w:w="85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B21DFF">
            <w:pPr>
              <w:tabs>
                <w:tab w:val="left" w:pos="-426"/>
              </w:tabs>
              <w:spacing w:after="0" w:line="240" w:lineRule="auto"/>
              <w:jc w:val="both"/>
              <w:rPr>
                <w:rFonts w:ascii="Times New Roman" w:hAnsi="Times New Roman" w:cs="Times New Roman"/>
              </w:rPr>
            </w:pPr>
          </w:p>
        </w:tc>
      </w:tr>
      <w:tr w:rsidR="00B21DFF">
        <w:tc>
          <w:tcPr>
            <w:tcW w:w="1714"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130300000</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«Расчеты по выданным авансам»</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50,0</w:t>
            </w:r>
          </w:p>
        </w:tc>
        <w:tc>
          <w:tcPr>
            <w:tcW w:w="98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3"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0,00</w:t>
            </w:r>
          </w:p>
        </w:tc>
        <w:tc>
          <w:tcPr>
            <w:tcW w:w="1079"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-50,0</w:t>
            </w:r>
          </w:p>
        </w:tc>
        <w:tc>
          <w:tcPr>
            <w:tcW w:w="85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B21DFF">
            <w:pPr>
              <w:tabs>
                <w:tab w:val="left" w:pos="-426"/>
              </w:tabs>
              <w:spacing w:after="0" w:line="240" w:lineRule="auto"/>
              <w:jc w:val="both"/>
              <w:rPr>
                <w:rFonts w:ascii="Times New Roman" w:hAnsi="Times New Roman" w:cs="Times New Roman"/>
              </w:rPr>
            </w:pPr>
          </w:p>
        </w:tc>
      </w:tr>
      <w:tr w:rsidR="00B21DFF">
        <w:tc>
          <w:tcPr>
            <w:tcW w:w="1714" w:type="dxa"/>
          </w:tcPr>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130400000</w:t>
            </w:r>
          </w:p>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Расчеты с</w:t>
            </w:r>
          </w:p>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подотчётными</w:t>
            </w:r>
          </w:p>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лицами</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98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3"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0,00</w:t>
            </w:r>
          </w:p>
        </w:tc>
        <w:tc>
          <w:tcPr>
            <w:tcW w:w="1079"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85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B21DFF">
            <w:pPr>
              <w:tabs>
                <w:tab w:val="left" w:pos="-426"/>
              </w:tabs>
              <w:spacing w:after="0" w:line="240" w:lineRule="auto"/>
              <w:jc w:val="both"/>
              <w:rPr>
                <w:rFonts w:ascii="Times New Roman" w:hAnsi="Times New Roman" w:cs="Times New Roman"/>
              </w:rPr>
            </w:pPr>
          </w:p>
        </w:tc>
      </w:tr>
      <w:tr w:rsidR="00B21DFF">
        <w:tc>
          <w:tcPr>
            <w:tcW w:w="1714" w:type="dxa"/>
          </w:tcPr>
          <w:p w:rsidR="00B21DFF" w:rsidRDefault="008F18B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645,0</w:t>
            </w:r>
          </w:p>
        </w:tc>
        <w:tc>
          <w:tcPr>
            <w:tcW w:w="98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3"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80"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3,0</w:t>
            </w:r>
          </w:p>
        </w:tc>
        <w:tc>
          <w:tcPr>
            <w:tcW w:w="1079"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92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92" w:type="dxa"/>
          </w:tcPr>
          <w:p w:rsidR="00B21DFF" w:rsidRDefault="008F18B2">
            <w:pPr>
              <w:tabs>
                <w:tab w:val="left" w:pos="-426"/>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-642,0</w:t>
            </w:r>
          </w:p>
        </w:tc>
        <w:tc>
          <w:tcPr>
            <w:tcW w:w="851" w:type="dxa"/>
          </w:tcPr>
          <w:p w:rsidR="00B21DFF" w:rsidRDefault="00B21DFF">
            <w:pPr>
              <w:tabs>
                <w:tab w:val="left" w:pos="-426"/>
              </w:tabs>
              <w:spacing w:after="0" w:line="240" w:lineRule="auto"/>
              <w:jc w:val="both"/>
              <w:rPr>
                <w:rFonts w:ascii="Times New Roman" w:hAnsi="Times New Roman" w:cs="Times New Roman"/>
                <w:sz w:val="18"/>
                <w:szCs w:val="18"/>
              </w:rPr>
            </w:pPr>
          </w:p>
        </w:tc>
        <w:tc>
          <w:tcPr>
            <w:tcW w:w="851" w:type="dxa"/>
          </w:tcPr>
          <w:p w:rsidR="00B21DFF" w:rsidRDefault="00B21DFF">
            <w:pPr>
              <w:tabs>
                <w:tab w:val="left" w:pos="-426"/>
              </w:tabs>
              <w:spacing w:after="0" w:line="240" w:lineRule="auto"/>
              <w:jc w:val="both"/>
              <w:rPr>
                <w:rFonts w:ascii="Times New Roman" w:hAnsi="Times New Roman" w:cs="Times New Roman"/>
              </w:rPr>
            </w:pP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Кредиторская задолженность</w:t>
      </w:r>
      <w:r>
        <w:rPr>
          <w:rFonts w:ascii="Times New Roman" w:hAnsi="Times New Roman" w:cs="Times New Roman"/>
          <w:sz w:val="28"/>
          <w:szCs w:val="28"/>
        </w:rPr>
        <w:t xml:space="preserve">  на конец отчетного периода составила 3031,14 рублей (по состоянию на  01.01.2023 составляла 644983,15 рублей, уменьшение по отношению  к предыдущему отчетному периоду составило 642,0 тыс.рублей), в том числе: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счету 1 302.21000 «Расчеты по услугам связи» в сумме 669,11 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счету 1 302.25000 «Расчеты по работам, услугам по содержанию имущества» в сумме 2362,03 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состоянию  на 01.01.2024:</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счету 1 40140000 </w:t>
      </w:r>
      <w:r>
        <w:rPr>
          <w:rFonts w:ascii="Times New Roman" w:hAnsi="Times New Roman" w:cs="Times New Roman"/>
          <w:i/>
          <w:sz w:val="28"/>
          <w:szCs w:val="28"/>
        </w:rPr>
        <w:t xml:space="preserve">«Доходы будущих периодов» </w:t>
      </w:r>
      <w:r>
        <w:rPr>
          <w:rFonts w:ascii="Times New Roman" w:hAnsi="Times New Roman" w:cs="Times New Roman"/>
          <w:sz w:val="28"/>
          <w:szCs w:val="28"/>
        </w:rPr>
        <w:t>составляет  2301198,4 тыс.рублей (на 01.01.2023 – 2187637,6 тыс.рублей), из них:</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доходы по начисленным межбюджетным трансфертам за 2024 – 2026 годы (счет 140149151)</w:t>
      </w:r>
      <w:r>
        <w:rPr>
          <w:rFonts w:ascii="Times New Roman" w:hAnsi="Times New Roman" w:cs="Times New Roman"/>
          <w:sz w:val="28"/>
          <w:szCs w:val="28"/>
        </w:rPr>
        <w:tab/>
        <w:t>- 2297293,6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доходы будущих периодов от платежей при пользовании природными ресурсами  (счет 140140123) – 3904,8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счету  1 401600000 «Резервы  предстоящих расходов» составляет 4116,4 тыс.рублей (на 01.01.2023 – 3074,1 тыс.рублей), из них: резерв  под предстоящие расходы на оплату труда(КОСГУ 211) – 3416,5 тыс.рублей, резерв под предстоящие  расходы по начислениям на выплаты по оплате труда (КОСГУ 213) – 554,1 тыс.рублей, резерв предстоящих расходов на услуги связи (КОСГУ 221)  - 70,7 тыс.рублей, резерв  предстоящих расходов на коммунальные расходы (КОСГУ  223) – 65,7 тыс.рублей,  резервы предстоящих расходов на приобретение ГСМ (КОСГУ 343) – 9,4 тыс.рублей.</w:t>
      </w:r>
      <w:r>
        <w:rPr>
          <w:rFonts w:ascii="Times New Roman" w:hAnsi="Times New Roman" w:cs="Times New Roman"/>
          <w:sz w:val="28"/>
          <w:szCs w:val="28"/>
        </w:rPr>
        <w:tab/>
        <w:t>В Сведениях о финансовых вложениях получателя бюджетных средств, администратора источников финансирования дефицита бюджета (ф.0503171) отражен показатель 899782,8 тыс.рублей -  участие в государственных (муниципальных) учреждениях  (код  06) – 899672,8 тыс.рублей и уставной фонд государственных (муниципальных) предприятий ( код 05) – 110,0 тыс.рублей, что соответствует показателю,  отраженному в Балансе (ф.0503120) по строке 240  «Финансовые вложения (020400000), всего». Финансовые вложения на  01.01.2024 года составили:</w:t>
      </w:r>
    </w:p>
    <w:tbl>
      <w:tblPr>
        <w:tblStyle w:val="af"/>
        <w:tblW w:w="7377" w:type="dxa"/>
        <w:tblLayout w:type="fixed"/>
        <w:tblLook w:val="04A0" w:firstRow="1" w:lastRow="0" w:firstColumn="1" w:lastColumn="0" w:noHBand="0" w:noVBand="1"/>
      </w:tblPr>
      <w:tblGrid>
        <w:gridCol w:w="5552"/>
        <w:gridCol w:w="1825"/>
      </w:tblGrid>
      <w:tr w:rsidR="00B21DFF">
        <w:tc>
          <w:tcPr>
            <w:tcW w:w="5551"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Наименование учредителя</w:t>
            </w:r>
          </w:p>
        </w:tc>
        <w:tc>
          <w:tcPr>
            <w:tcW w:w="1825"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Сумма (рублей)</w:t>
            </w:r>
          </w:p>
        </w:tc>
      </w:tr>
      <w:tr w:rsidR="00B21DFF">
        <w:tc>
          <w:tcPr>
            <w:tcW w:w="5551"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Отдел образования</w:t>
            </w:r>
          </w:p>
        </w:tc>
        <w:tc>
          <w:tcPr>
            <w:tcW w:w="1825"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686500625,29</w:t>
            </w:r>
          </w:p>
        </w:tc>
      </w:tr>
      <w:tr w:rsidR="00B21DFF">
        <w:tc>
          <w:tcPr>
            <w:tcW w:w="5551"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Отдел культуры</w:t>
            </w:r>
          </w:p>
        </w:tc>
        <w:tc>
          <w:tcPr>
            <w:tcW w:w="1825"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35716116,29</w:t>
            </w:r>
          </w:p>
        </w:tc>
      </w:tr>
      <w:tr w:rsidR="00B21DFF">
        <w:tc>
          <w:tcPr>
            <w:tcW w:w="5551"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Администрация района</w:t>
            </w:r>
          </w:p>
        </w:tc>
        <w:tc>
          <w:tcPr>
            <w:tcW w:w="1825"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177456045,38</w:t>
            </w:r>
          </w:p>
        </w:tc>
      </w:tr>
      <w:tr w:rsidR="00B21DFF">
        <w:tc>
          <w:tcPr>
            <w:tcW w:w="5551"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Итого по коду</w:t>
            </w:r>
          </w:p>
        </w:tc>
        <w:tc>
          <w:tcPr>
            <w:tcW w:w="1825"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899672786,96</w:t>
            </w:r>
          </w:p>
        </w:tc>
      </w:tr>
      <w:tr w:rsidR="00B21DFF">
        <w:tc>
          <w:tcPr>
            <w:tcW w:w="5551"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Администрация района уставны фонд государственных</w:t>
            </w:r>
          </w:p>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(муниципальных) учреждений код 05</w:t>
            </w:r>
          </w:p>
        </w:tc>
        <w:tc>
          <w:tcPr>
            <w:tcW w:w="1825" w:type="dxa"/>
          </w:tcPr>
          <w:p w:rsidR="00B21DFF" w:rsidRDefault="008F18B2">
            <w:pPr>
              <w:tabs>
                <w:tab w:val="left" w:pos="-426"/>
              </w:tabs>
              <w:spacing w:after="0" w:line="240" w:lineRule="auto"/>
              <w:jc w:val="both"/>
              <w:rPr>
                <w:rFonts w:ascii="Times New Roman" w:hAnsi="Times New Roman" w:cs="Times New Roman"/>
                <w:i/>
              </w:rPr>
            </w:pPr>
            <w:r>
              <w:rPr>
                <w:rFonts w:ascii="Times New Roman" w:hAnsi="Times New Roman" w:cs="Times New Roman"/>
                <w:i/>
              </w:rPr>
              <w:t>110000,00</w:t>
            </w:r>
          </w:p>
        </w:tc>
      </w:tr>
      <w:tr w:rsidR="00B21DFF">
        <w:tc>
          <w:tcPr>
            <w:tcW w:w="5551" w:type="dxa"/>
          </w:tcPr>
          <w:p w:rsidR="00B21DFF" w:rsidRDefault="008F18B2">
            <w:pPr>
              <w:tabs>
                <w:tab w:val="left" w:pos="-426"/>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Всего по счету 20400000</w:t>
            </w:r>
          </w:p>
        </w:tc>
        <w:tc>
          <w:tcPr>
            <w:tcW w:w="1825" w:type="dxa"/>
          </w:tcPr>
          <w:p w:rsidR="00B21DFF" w:rsidRDefault="008F18B2">
            <w:pPr>
              <w:tabs>
                <w:tab w:val="left" w:pos="-426"/>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899782786,96</w:t>
            </w:r>
          </w:p>
        </w:tc>
      </w:tr>
    </w:tbl>
    <w:p w:rsidR="00B21DFF" w:rsidRDefault="008F18B2">
      <w:pPr>
        <w:tabs>
          <w:tab w:val="left" w:pos="-426"/>
        </w:tabs>
        <w:spacing w:after="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По  состоянию на 01 января  2024 года сформированы </w:t>
      </w:r>
      <w:r>
        <w:rPr>
          <w:rFonts w:ascii="Times New Roman" w:hAnsi="Times New Roman" w:cs="Times New Roman"/>
          <w:i/>
          <w:sz w:val="28"/>
          <w:szCs w:val="28"/>
        </w:rPr>
        <w:t>Сведения  об изменении остатков валюты баланса</w:t>
      </w:r>
      <w:r>
        <w:rPr>
          <w:rFonts w:ascii="Times New Roman" w:hAnsi="Times New Roman" w:cs="Times New Roman"/>
          <w:sz w:val="28"/>
          <w:szCs w:val="28"/>
        </w:rPr>
        <w:t xml:space="preserve"> (ф.0503173). Отражены  показатели, в т.ч.:</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Изменение остатков валюты баланса: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коду 03 (исправление ошибок прошлых лет)  по счету 40150000: 29472,00 рублей отражена подписка на 2024   год;</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коду 05 (пересчеты показателей отчетности) по счету 20500000 отражена долгосрочная дебиторская задолженность – 3525457,55 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Изменение по забалансовым счетам:</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По  коду 03 (исправление ошибок прошлых лет):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Заб.счет 25 Имущество, переданное в возмездное пользование (аренду) 150000,00 рублей Администрацией района отражена передача квартиры;</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Заб.счет 26 Имущество, переданное в  безвозмездное пользование  80392033,00  рублей –Администрацией района отражена стоимость имущества, переданного в  безвозмездное пользование.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«Сведениях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 отражена информация о поступивших денежных средствах в  доход района от перечисления части прибыли  МУП «ЖКХ»  в  сумме 3950,0 рублей,  что соответствует форме 05031117 по коду доходов 111070015050000120.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Сведениях  о принятых и неисполненных обязательствах получателя бюджетных средств (ф.0503175) в  разделе 4  «Сведения об  экономии при заключении государственных (муниципальных) контрактов с  применением конкурентных способов» отражена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 (пункт 170.2 Инструкции № 191 н).</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За 2023 год проведено 241 конкурсная процедура. Принято обязательств по контрактам на сумму 304414,4 тыс.рублей (соответствует показателю, отраженному в Отчете (ф.0503128) в  графе 8), экономия в результате применении конкурентных способов составила  2700,1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«Сведениях о принятых и неисполненных обязательствах получателя  бюджетных средств (ф.0503175) – неисполненные бюджетные обязательства  составляют  3031,14 рублей, так как  счета за  декабрь были предоставлены в январе.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Неисполненные денежные обязательства составляют 3031,14 рублей,  так как счета за  декабрь были предоставлены в январе.</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составе бюджетной отчетности представлены Сведения (ф.0503178) по виду деятельности:  «средствам во временном распоряжении», в   соответствии пункту  173   Инструкции 191н. Остаток  денежных средств по состоянию на 01.01.2024 года 0,00 рублей. Показатели остатка средств во временном распоряжении (ф.0503178) соответствуют показателям в форме 0503140 Баланса (ф.0503140) и соответствует показателям, отраженным по строке 210 (счет 020210000) Баланса (ф.0503120).</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Информация о  сумме капитальных вложений, произведенных в  2023 году в  объекты недвижимого имущества «Жилые помещения» отражена в Сведениях о вложениях в  объекты недвижимого имущества, объектах </w:t>
      </w:r>
      <w:r>
        <w:rPr>
          <w:rFonts w:ascii="Times New Roman" w:hAnsi="Times New Roman" w:cs="Times New Roman"/>
          <w:sz w:val="28"/>
          <w:szCs w:val="28"/>
        </w:rPr>
        <w:lastRenderedPageBreak/>
        <w:t>незавершенного строительства (ф.0503190), согласно которым приобретено  12 квартир в п.Акбулак (финансирование за счет средств федерального бюджета не осуществлялось).</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Информация по  показателям, отраженным в Сведениях (ф.0503190), представлена в  таблице:</w:t>
      </w:r>
    </w:p>
    <w:p w:rsidR="00B21DFF" w:rsidRDefault="00B21DFF">
      <w:pPr>
        <w:tabs>
          <w:tab w:val="left" w:pos="-426"/>
        </w:tabs>
        <w:spacing w:after="0"/>
        <w:jc w:val="both"/>
        <w:rPr>
          <w:rFonts w:ascii="Times New Roman" w:hAnsi="Times New Roman" w:cs="Times New Roman"/>
          <w:sz w:val="28"/>
          <w:szCs w:val="28"/>
        </w:rPr>
      </w:pPr>
    </w:p>
    <w:p w:rsidR="00B21DFF" w:rsidRDefault="00B21DFF">
      <w:pPr>
        <w:tabs>
          <w:tab w:val="left" w:pos="-426"/>
        </w:tabs>
        <w:spacing w:after="0"/>
        <w:jc w:val="both"/>
        <w:rPr>
          <w:rFonts w:ascii="Times New Roman" w:hAnsi="Times New Roman" w:cs="Times New Roman"/>
          <w:sz w:val="28"/>
          <w:szCs w:val="28"/>
        </w:rPr>
      </w:pPr>
    </w:p>
    <w:tbl>
      <w:tblPr>
        <w:tblStyle w:val="af"/>
        <w:tblW w:w="9599" w:type="dxa"/>
        <w:tblLayout w:type="fixed"/>
        <w:tblLook w:val="04A0" w:firstRow="1" w:lastRow="0" w:firstColumn="1" w:lastColumn="0" w:noHBand="0" w:noVBand="1"/>
      </w:tblPr>
      <w:tblGrid>
        <w:gridCol w:w="2291"/>
        <w:gridCol w:w="950"/>
        <w:gridCol w:w="1292"/>
        <w:gridCol w:w="1446"/>
        <w:gridCol w:w="2023"/>
        <w:gridCol w:w="896"/>
        <w:gridCol w:w="701"/>
      </w:tblGrid>
      <w:tr w:rsidR="00B21DFF">
        <w:tc>
          <w:tcPr>
            <w:tcW w:w="2290" w:type="dxa"/>
            <w:vMerge w:val="restart"/>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Объект, адрес местонахождения жилого помещения</w:t>
            </w:r>
          </w:p>
        </w:tc>
        <w:tc>
          <w:tcPr>
            <w:tcW w:w="950" w:type="dxa"/>
            <w:vMerge w:val="restart"/>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Статус</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объекта</w:t>
            </w:r>
          </w:p>
        </w:tc>
        <w:tc>
          <w:tcPr>
            <w:tcW w:w="1292" w:type="dxa"/>
            <w:vMerge w:val="restart"/>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Целевая</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Функция</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объекта</w:t>
            </w:r>
          </w:p>
        </w:tc>
        <w:tc>
          <w:tcPr>
            <w:tcW w:w="1446" w:type="dxa"/>
            <w:vMerge w:val="restart"/>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Сметная</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стоимость</w:t>
            </w:r>
          </w:p>
        </w:tc>
        <w:tc>
          <w:tcPr>
            <w:tcW w:w="2023" w:type="dxa"/>
            <w:vMerge w:val="restart"/>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Фактические</w:t>
            </w:r>
          </w:p>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Расходы (по счету 010611000)</w:t>
            </w:r>
          </w:p>
        </w:tc>
        <w:tc>
          <w:tcPr>
            <w:tcW w:w="896" w:type="dxa"/>
            <w:tcBorders>
              <w:right w:val="nil"/>
            </w:tcBorders>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Кассовые расходы</w:t>
            </w:r>
          </w:p>
        </w:tc>
        <w:tc>
          <w:tcPr>
            <w:tcW w:w="701" w:type="dxa"/>
            <w:tcBorders>
              <w:left w:val="nil"/>
            </w:tcBorders>
          </w:tcPr>
          <w:p w:rsidR="00B21DFF" w:rsidRDefault="00B21DFF">
            <w:pPr>
              <w:tabs>
                <w:tab w:val="left" w:pos="-426"/>
              </w:tabs>
              <w:spacing w:after="0" w:line="240" w:lineRule="auto"/>
              <w:jc w:val="both"/>
              <w:rPr>
                <w:rFonts w:ascii="Times New Roman" w:hAnsi="Times New Roman" w:cs="Times New Roman"/>
              </w:rPr>
            </w:pPr>
          </w:p>
        </w:tc>
      </w:tr>
      <w:tr w:rsidR="00B21DFF">
        <w:tc>
          <w:tcPr>
            <w:tcW w:w="2290" w:type="dxa"/>
            <w:vMerge/>
          </w:tcPr>
          <w:p w:rsidR="00B21DFF" w:rsidRDefault="00B21DFF">
            <w:pPr>
              <w:tabs>
                <w:tab w:val="left" w:pos="-426"/>
              </w:tabs>
              <w:spacing w:after="0" w:line="240" w:lineRule="auto"/>
              <w:jc w:val="both"/>
              <w:rPr>
                <w:rFonts w:ascii="Times New Roman" w:hAnsi="Times New Roman" w:cs="Times New Roman"/>
                <w:sz w:val="28"/>
                <w:szCs w:val="28"/>
              </w:rPr>
            </w:pPr>
          </w:p>
        </w:tc>
        <w:tc>
          <w:tcPr>
            <w:tcW w:w="950" w:type="dxa"/>
            <w:vMerge/>
          </w:tcPr>
          <w:p w:rsidR="00B21DFF" w:rsidRDefault="00B21DFF">
            <w:pPr>
              <w:tabs>
                <w:tab w:val="left" w:pos="-426"/>
              </w:tabs>
              <w:spacing w:after="0" w:line="240" w:lineRule="auto"/>
              <w:jc w:val="both"/>
              <w:rPr>
                <w:rFonts w:ascii="Times New Roman" w:hAnsi="Times New Roman" w:cs="Times New Roman"/>
              </w:rPr>
            </w:pPr>
          </w:p>
        </w:tc>
        <w:tc>
          <w:tcPr>
            <w:tcW w:w="1292" w:type="dxa"/>
            <w:vMerge/>
          </w:tcPr>
          <w:p w:rsidR="00B21DFF" w:rsidRDefault="00B21DFF">
            <w:pPr>
              <w:tabs>
                <w:tab w:val="left" w:pos="-426"/>
              </w:tabs>
              <w:spacing w:after="0" w:line="240" w:lineRule="auto"/>
              <w:jc w:val="both"/>
              <w:rPr>
                <w:rFonts w:ascii="Times New Roman" w:hAnsi="Times New Roman" w:cs="Times New Roman"/>
              </w:rPr>
            </w:pPr>
          </w:p>
        </w:tc>
        <w:tc>
          <w:tcPr>
            <w:tcW w:w="1446" w:type="dxa"/>
            <w:vMerge/>
          </w:tcPr>
          <w:p w:rsidR="00B21DFF" w:rsidRDefault="00B21DFF">
            <w:pPr>
              <w:tabs>
                <w:tab w:val="left" w:pos="-426"/>
              </w:tabs>
              <w:spacing w:after="0" w:line="240" w:lineRule="auto"/>
              <w:jc w:val="both"/>
              <w:rPr>
                <w:rFonts w:ascii="Times New Roman" w:hAnsi="Times New Roman" w:cs="Times New Roman"/>
              </w:rPr>
            </w:pPr>
          </w:p>
        </w:tc>
        <w:tc>
          <w:tcPr>
            <w:tcW w:w="2023" w:type="dxa"/>
            <w:vMerge/>
          </w:tcPr>
          <w:p w:rsidR="00B21DFF" w:rsidRDefault="00B21DFF">
            <w:pPr>
              <w:tabs>
                <w:tab w:val="left" w:pos="-426"/>
              </w:tabs>
              <w:spacing w:after="0" w:line="240" w:lineRule="auto"/>
              <w:jc w:val="both"/>
              <w:rPr>
                <w:rFonts w:ascii="Times New Roman" w:hAnsi="Times New Roman" w:cs="Times New Roman"/>
              </w:rPr>
            </w:pPr>
          </w:p>
        </w:tc>
        <w:tc>
          <w:tcPr>
            <w:tcW w:w="896"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Всего из них:</w:t>
            </w:r>
          </w:p>
        </w:tc>
        <w:tc>
          <w:tcPr>
            <w:tcW w:w="701" w:type="dxa"/>
          </w:tcPr>
          <w:p w:rsidR="00B21DFF" w:rsidRDefault="008F18B2">
            <w:pPr>
              <w:tabs>
                <w:tab w:val="left" w:pos="-426"/>
              </w:tabs>
              <w:spacing w:after="0" w:line="240" w:lineRule="auto"/>
              <w:jc w:val="both"/>
              <w:rPr>
                <w:rFonts w:ascii="Times New Roman" w:hAnsi="Times New Roman" w:cs="Times New Roman"/>
              </w:rPr>
            </w:pPr>
            <w:r>
              <w:rPr>
                <w:rFonts w:ascii="Times New Roman" w:hAnsi="Times New Roman" w:cs="Times New Roman"/>
              </w:rPr>
              <w:t>Средства федерального бюджет</w:t>
            </w: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ул.Транпортная, 26/2</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ул.Транпортная, 26/1</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ул.Молодежная,8/2</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ул.Индустриальная,18А</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ул.Индустриальная 18</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ул.Индустриальная 16А</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ул.Автодорожная,25</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Жилой дом Оренбургская область,  Акбулакский район, </w:t>
            </w:r>
            <w:r>
              <w:rPr>
                <w:rFonts w:ascii="Times New Roman" w:hAnsi="Times New Roman" w:cs="Times New Roman"/>
                <w:sz w:val="20"/>
                <w:szCs w:val="20"/>
              </w:rPr>
              <w:lastRenderedPageBreak/>
              <w:t>пос.Акбулак, ул.Хлебная,1 Б/17</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ул.Транпортная, 36</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ул.Транпортная, 36А</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Жилой дом Оренбургская область,  Акбулакский район, пос.Акбулак, ул.Автодорожная,25А</w:t>
            </w:r>
          </w:p>
        </w:tc>
        <w:tc>
          <w:tcPr>
            <w:tcW w:w="950" w:type="dxa"/>
          </w:tcPr>
          <w:p w:rsidR="00B21DFF" w:rsidRDefault="00B21DFF">
            <w:pPr>
              <w:tabs>
                <w:tab w:val="left" w:pos="-426"/>
              </w:tabs>
              <w:spacing w:after="0" w:line="240" w:lineRule="auto"/>
              <w:jc w:val="both"/>
              <w:rPr>
                <w:rFonts w:ascii="Times New Roman" w:hAnsi="Times New Roman" w:cs="Times New Roman"/>
                <w:sz w:val="20"/>
                <w:szCs w:val="20"/>
              </w:rPr>
            </w:pP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1482,25</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r w:rsidR="00B21DFF">
        <w:tc>
          <w:tcPr>
            <w:tcW w:w="229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950"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Х</w:t>
            </w:r>
          </w:p>
        </w:tc>
        <w:tc>
          <w:tcPr>
            <w:tcW w:w="1292"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Х</w:t>
            </w:r>
          </w:p>
        </w:tc>
        <w:tc>
          <w:tcPr>
            <w:tcW w:w="144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16646,4</w:t>
            </w:r>
          </w:p>
        </w:tc>
        <w:tc>
          <w:tcPr>
            <w:tcW w:w="2023"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16646,4</w:t>
            </w:r>
          </w:p>
        </w:tc>
        <w:tc>
          <w:tcPr>
            <w:tcW w:w="896" w:type="dxa"/>
          </w:tcPr>
          <w:p w:rsidR="00B21DFF" w:rsidRDefault="008F18B2">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16646,4</w:t>
            </w:r>
          </w:p>
        </w:tc>
        <w:tc>
          <w:tcPr>
            <w:tcW w:w="701" w:type="dxa"/>
          </w:tcPr>
          <w:p w:rsidR="00B21DFF" w:rsidRDefault="00B21DFF">
            <w:pPr>
              <w:tabs>
                <w:tab w:val="left" w:pos="-426"/>
              </w:tabs>
              <w:spacing w:after="0" w:line="240" w:lineRule="auto"/>
              <w:jc w:val="both"/>
              <w:rPr>
                <w:rFonts w:ascii="Times New Roman" w:hAnsi="Times New Roman" w:cs="Times New Roman"/>
                <w:sz w:val="28"/>
                <w:szCs w:val="28"/>
              </w:rPr>
            </w:pPr>
          </w:p>
        </w:tc>
      </w:tr>
    </w:tbl>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Показатель строки 9000 «Расходы» раздела 4 Отчета (ф.0503123) по виду расходов 412 «Бюджетные инвестиции на приобретение объектов недвижимого имущества в  государственную (муниципальную) собственность» 16646,4 тыс.рублей, соответствует кассовому расходу в форме 0503190 «Сведения о  вложениях в  объекты недвижимого имущества, объектах незавершенного строительства».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Кассовый расход Сведений (ф.0503190) в  значении 16646,4 тыс.рублей соответствует показателям Сведений (ф.0503168) в части балансовой стоимости приобретенного имущества.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Перед годовой отчетностью в учреждениях были проведены инвентаризации на основании распоряжений (приказов):</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Администрация района № 193-р от 29.11.2023 года;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 3 от 04.12.023 года;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Отдел культуры № 20-ОД от 01.11.2023 года;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Районный отдел образования № 01-07/14 от 10.10.2023;</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Финансовый отдел № 20, 21, 22 от 22.12.2023 года.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Расхождений при инвентаризации нет.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таблице № 1 «Сведения о направлениях деятельности», таб. № 6 «Сведения о проведении инвентаризаций», форме 0503125 «Справка по  консолидируемым расчетам (401.20.241, 401.20.281, 401.10.189,  401.41.151, 401.49.151, 401.40.161, 401.41.161, 401.49.161, 207.11.541, 207.11.641, 207.11.000,  207.21.541, 207.21.641, 207.21.000, 207.31.541, 207.31.641, 207.31.000, 301.11.710, 301.11.810, 301.11.000, 301.21.710, 301.21.810, 301.21.000, 301.31.710, 301.31.810, 301.31.000, 206.51.000, 206.54.561, 206.54.661, 206.54.661, 206.54.000, 205.61.000, 302.51.000, 302.54.831, 302.54.000, 304.06.000, 303.05.000, 303.05.731, 303.05.831) форме 167 </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«Сведения о целевых иностранных кредитах», форме 169 «Сведения по дебиторской и кредиторской  задолженности» по виду деятельности «деятельность со средствами во временном распоряжении», форме 0503172 «Сведения о государственном (муниципальном) долге, представленных бюджетных кредитах» форме 0503173.3 «Сведения  об изменении валюты баланса. Средства во временном распоряжении» - числовые показатели отсутствуют</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21DFF" w:rsidRDefault="008F18B2">
      <w:pPr>
        <w:tabs>
          <w:tab w:val="left" w:pos="-426"/>
        </w:tabs>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Анализ источников финансирования дефицита бюджета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муниципальном образовании Акбулакский район первоначально запланирован бездефицитный бюджет. В течение отчетного года, с учетом вносимых изменений, плановый дефицит бюджета составил в сумме  16832,9 тыс.рублей. По завершении финансового года районный бюджет исполнен с дефицитом в размере 2712,2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Источником финансирования дефицита (раздел 3 ф.0503117) является изменение остатков средств на счетах по учету средств бюджетов: утверждено на  01.01.2024 в размере 16832,9 тыс.рублей исполнение за 2022 год в размере 2712,2 тыс.рублей, неисполненные назначения на 01.01.2023 в размере 14120,7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представленными ведомостью по движению свободного остатка средств бюджета (ф.0531819) и справкой о свободном остатке средств (ф.0531859), остаток средств бюджета по состоянию на 01.01.2022 составлял 19264,2 тыс.рублей, по состоянию на 01.01.2023 остаток составил 16552,0 тыс.рублей (соответствует показателям, отраженным в Балансе исполнения бюджета(ф.0503120) отраженным по строке 210 «Средства на счетах бюджета в органе Федерального казначейства (020210000). Изменение по счету составили  в размере 2712,2 тыс.рублей. В разделе 3 «Источники финансирования дефицита бюджета» Отчета (ф.0503117) по строке 700 «Изменение остатков средств на счетах по учету средств бюджета», утвержденные бюджетные назначения составили 16832,9 тыс.рублей (графа 4), неисполненные назначения  составили 14120,7 тыс.рублей (графа 6).</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ходе проведения анализа исполнения бюджета проверкой установлено,  что в бюджете муниципального образования Акбулакский район средства в размере   2431,3  тыс.рублей не распределены.</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По состоянию на 01.01.2024 задолженности сельхозтоваропроизводителей перед бюджетом – нет.</w:t>
      </w:r>
    </w:p>
    <w:p w:rsidR="00B21DFF" w:rsidRDefault="00B21DFF">
      <w:pPr>
        <w:tabs>
          <w:tab w:val="left" w:pos="-426"/>
        </w:tabs>
        <w:spacing w:after="0"/>
        <w:jc w:val="both"/>
        <w:rPr>
          <w:rFonts w:ascii="Times New Roman" w:hAnsi="Times New Roman" w:cs="Times New Roman"/>
          <w:sz w:val="28"/>
          <w:szCs w:val="28"/>
        </w:rPr>
      </w:pPr>
    </w:p>
    <w:p w:rsidR="00B21DFF" w:rsidRDefault="008F18B2">
      <w:pPr>
        <w:tabs>
          <w:tab w:val="left" w:pos="-426"/>
        </w:tabs>
        <w:spacing w:after="0"/>
        <w:jc w:val="center"/>
        <w:rPr>
          <w:rFonts w:ascii="Times New Roman" w:hAnsi="Times New Roman" w:cs="Times New Roman"/>
          <w:sz w:val="28"/>
          <w:szCs w:val="28"/>
        </w:rPr>
      </w:pPr>
      <w:r>
        <w:rPr>
          <w:rFonts w:ascii="Times New Roman" w:hAnsi="Times New Roman" w:cs="Times New Roman"/>
          <w:sz w:val="28"/>
          <w:szCs w:val="28"/>
        </w:rPr>
        <w:t>Выводы:</w:t>
      </w:r>
    </w:p>
    <w:p w:rsidR="00B21DFF" w:rsidRDefault="00B21DFF">
      <w:pPr>
        <w:tabs>
          <w:tab w:val="left" w:pos="-426"/>
        </w:tabs>
        <w:spacing w:after="0"/>
        <w:jc w:val="center"/>
        <w:rPr>
          <w:rFonts w:ascii="Times New Roman" w:hAnsi="Times New Roman" w:cs="Times New Roman"/>
          <w:sz w:val="28"/>
          <w:szCs w:val="28"/>
        </w:rPr>
      </w:pPr>
    </w:p>
    <w:p w:rsidR="00B21DFF" w:rsidRDefault="008F18B2">
      <w:pPr>
        <w:pStyle w:val="ae"/>
        <w:numPr>
          <w:ilvl w:val="0"/>
          <w:numId w:val="1"/>
        </w:numPr>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районного бюджета:</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по  доходам решением Совета депутатов от 22.12.2022  № 170 утверждены бюджетные назначения в сумме 903150,6 тыс.рублей, включено в Отчет (ф.0503117) в размере  898829,1 тыс.рублей. Исполнено в сумме   917909,4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по расходам  решением Совета депутатов от 22.12.2022 № 170 утверждено бюджетных ассигнований в сумме  903150,6 тыс.рублей, сводной бюджетной росписью распределено в размере  909589,4 тыс.рублей. Исполнено в сумме   898726,6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В течение отчетного года, с учетом вносимых изменений, плановый дефицит бюджета составил 10760,3 тыс.рублей. По завершении финансового года районный бюджет исполнен с дефицитом в размере  19182,9 тыс.рублей.</w:t>
      </w:r>
    </w:p>
    <w:p w:rsidR="00B21DFF" w:rsidRDefault="008F18B2">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Муниципальный долг муниципального образования Акбулакский район по состоянию на 01.01.2024 отсутствует.</w:t>
      </w:r>
    </w:p>
    <w:p w:rsidR="00B21DFF" w:rsidRDefault="008F18B2">
      <w:pPr>
        <w:pStyle w:val="ae"/>
        <w:numPr>
          <w:ilvl w:val="0"/>
          <w:numId w:val="1"/>
        </w:numPr>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В течение финансового года в решение о бюджете изменения вносились четыре раз. </w:t>
      </w:r>
    </w:p>
    <w:p w:rsidR="00B21DFF" w:rsidRDefault="008F18B2">
      <w:pPr>
        <w:pStyle w:val="ae"/>
        <w:numPr>
          <w:ilvl w:val="0"/>
          <w:numId w:val="1"/>
        </w:numPr>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Исполнение доходной части районного бюджета в  2023 году обеспечено на 13,8% налоговыми и неналоговыми платежами, которые составили  126913,4тыс.рублей,  и  на 86,2% безвозмездными поступлениями в сумме   790996,0тыс.рублей. Основными источниками собственных  доходов районного бюджета в 2023 году являлись налог на доходы  физических лиц (77,4% ) и налоги на совокупный доход (14,1%).</w:t>
      </w:r>
    </w:p>
    <w:p w:rsidR="00B21DFF" w:rsidRDefault="008F18B2">
      <w:pPr>
        <w:pStyle w:val="ae"/>
        <w:numPr>
          <w:ilvl w:val="0"/>
          <w:numId w:val="1"/>
        </w:numPr>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Отчет  об исполнении районного  бюджета Акбулакского района за 2023  год соответствует требованиям бюджетного законодательства.</w:t>
      </w:r>
    </w:p>
    <w:p w:rsidR="00B21DFF" w:rsidRDefault="00B21DFF">
      <w:pPr>
        <w:pStyle w:val="ae"/>
        <w:tabs>
          <w:tab w:val="left" w:pos="-426"/>
        </w:tabs>
        <w:spacing w:after="0"/>
        <w:ind w:left="0"/>
        <w:jc w:val="both"/>
        <w:rPr>
          <w:rFonts w:ascii="Times New Roman" w:hAnsi="Times New Roman" w:cs="Times New Roman"/>
          <w:sz w:val="28"/>
          <w:szCs w:val="28"/>
        </w:rPr>
      </w:pPr>
    </w:p>
    <w:p w:rsidR="00B21DFF" w:rsidRDefault="008F18B2">
      <w:pPr>
        <w:spacing w:after="0"/>
        <w:rPr>
          <w:rFonts w:ascii="Times New Roman" w:hAnsi="Times New Roman" w:cs="Times New Roman"/>
        </w:rPr>
      </w:pPr>
      <w:r>
        <w:rPr>
          <w:rFonts w:ascii="Times New Roman" w:hAnsi="Times New Roman" w:cs="Times New Roman"/>
        </w:rPr>
        <w:t xml:space="preserve">Председатель Контрольно-счетной </w:t>
      </w:r>
    </w:p>
    <w:p w:rsidR="00B21DFF" w:rsidRDefault="008F18B2">
      <w:pPr>
        <w:spacing w:after="0"/>
        <w:rPr>
          <w:rFonts w:ascii="Times New Roman" w:hAnsi="Times New Roman" w:cs="Times New Roman"/>
        </w:rPr>
      </w:pPr>
      <w:r>
        <w:rPr>
          <w:rFonts w:ascii="Times New Roman" w:hAnsi="Times New Roman" w:cs="Times New Roman"/>
        </w:rPr>
        <w:t>палаты муниципального образования</w:t>
      </w:r>
    </w:p>
    <w:p w:rsidR="00B21DFF" w:rsidRDefault="008F18B2">
      <w:pPr>
        <w:spacing w:after="0"/>
        <w:rPr>
          <w:rFonts w:ascii="Times New Roman" w:hAnsi="Times New Roman" w:cs="Times New Roman"/>
        </w:rPr>
      </w:pPr>
      <w:r>
        <w:rPr>
          <w:rFonts w:ascii="Times New Roman" w:hAnsi="Times New Roman" w:cs="Times New Roman"/>
        </w:rPr>
        <w:t xml:space="preserve">Акбулакский район                                                                                                 А.Ф.Щербаненко </w:t>
      </w:r>
    </w:p>
    <w:p w:rsidR="00B21DFF" w:rsidRDefault="008F18B2">
      <w:pPr>
        <w:spacing w:after="0"/>
        <w:rPr>
          <w:rFonts w:ascii="Times New Roman" w:hAnsi="Times New Roman" w:cs="Times New Roman"/>
        </w:rPr>
      </w:pPr>
      <w:r>
        <w:rPr>
          <w:noProof/>
        </w:rPr>
        <w:drawing>
          <wp:anchor distT="0" distB="0" distL="0" distR="0" simplePos="0" relativeHeight="251670016" behindDoc="0" locked="0" layoutInCell="0" allowOverlap="1">
            <wp:simplePos x="0" y="0"/>
            <wp:positionH relativeFrom="page">
              <wp:posOffset>3162300</wp:posOffset>
            </wp:positionH>
            <wp:positionV relativeFrom="page">
              <wp:posOffset>9110980</wp:posOffset>
            </wp:positionV>
            <wp:extent cx="2877185" cy="108013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a:stretch>
                      <a:fillRect/>
                    </a:stretch>
                  </pic:blipFill>
                  <pic:spPr bwMode="auto">
                    <a:xfrm>
                      <a:off x="0" y="0"/>
                      <a:ext cx="2877185" cy="1080135"/>
                    </a:xfrm>
                    <a:prstGeom prst="rect">
                      <a:avLst/>
                    </a:prstGeom>
                  </pic:spPr>
                </pic:pic>
              </a:graphicData>
            </a:graphic>
          </wp:anchor>
        </w:drawing>
      </w:r>
    </w:p>
    <w:p w:rsidR="00B21DFF" w:rsidRDefault="00B21DFF">
      <w:pPr>
        <w:spacing w:after="0"/>
        <w:rPr>
          <w:rFonts w:ascii="Times New Roman" w:hAnsi="Times New Roman" w:cs="Times New Roman"/>
        </w:rPr>
      </w:pPr>
    </w:p>
    <w:p w:rsidR="00B21DFF" w:rsidRDefault="008F18B2">
      <w:pPr>
        <w:spacing w:after="0"/>
        <w:rPr>
          <w:rFonts w:ascii="Times New Roman" w:hAnsi="Times New Roman" w:cs="Times New Roman"/>
        </w:rPr>
      </w:pPr>
      <w:r>
        <w:rPr>
          <w:rFonts w:ascii="Times New Roman" w:hAnsi="Times New Roman" w:cs="Times New Roman"/>
        </w:rPr>
        <w:t xml:space="preserve">Ознакомлены: Глава МО Акбулакский район В.В.Пирогов;  Председатель Совета депутатов  МО Акбулакский район В.П.Гусельман.                                                                                   </w:t>
      </w:r>
    </w:p>
    <w:p w:rsidR="00B21DFF" w:rsidRDefault="00B21DFF">
      <w:pPr>
        <w:spacing w:after="0"/>
        <w:rPr>
          <w:rFonts w:ascii="Times New Roman" w:hAnsi="Times New Roman" w:cs="Times New Roman"/>
          <w:sz w:val="28"/>
          <w:szCs w:val="28"/>
        </w:rPr>
      </w:pPr>
    </w:p>
    <w:p w:rsidR="00B21DFF" w:rsidRDefault="008F18B2">
      <w:pPr>
        <w:spacing w:after="0"/>
        <w:ind w:left="6372" w:firstLine="708"/>
        <w:rPr>
          <w:rFonts w:ascii="Times New Roman" w:hAnsi="Times New Roman" w:cs="Times New Roman"/>
          <w:sz w:val="28"/>
          <w:szCs w:val="28"/>
        </w:rPr>
      </w:pPr>
      <w:r>
        <w:rPr>
          <w:rFonts w:ascii="Times New Roman" w:hAnsi="Times New Roman" w:cs="Times New Roman"/>
          <w:sz w:val="28"/>
          <w:szCs w:val="28"/>
        </w:rPr>
        <w:t>Приложение № 1</w:t>
      </w:r>
    </w:p>
    <w:p w:rsidR="00B21DFF" w:rsidRDefault="00B21DFF">
      <w:pPr>
        <w:tabs>
          <w:tab w:val="left" w:pos="-426"/>
        </w:tabs>
        <w:spacing w:after="0"/>
        <w:jc w:val="both"/>
        <w:rPr>
          <w:rFonts w:ascii="Times New Roman" w:hAnsi="Times New Roman" w:cs="Times New Roman"/>
          <w:sz w:val="28"/>
          <w:szCs w:val="28"/>
        </w:rPr>
      </w:pPr>
    </w:p>
    <w:p w:rsidR="00B21DFF" w:rsidRDefault="008F18B2">
      <w:pPr>
        <w:spacing w:after="0"/>
        <w:jc w:val="center"/>
        <w:rPr>
          <w:rFonts w:ascii="Times New Roman" w:hAnsi="Times New Roman" w:cs="Times New Roman"/>
          <w:u w:val="single"/>
        </w:rPr>
      </w:pPr>
      <w:r>
        <w:rPr>
          <w:rFonts w:ascii="Times New Roman" w:hAnsi="Times New Roman" w:cs="Times New Roman"/>
          <w:u w:val="single"/>
        </w:rPr>
        <w:t>Анализ расходов по муниципальным программам за 2023  год</w:t>
      </w:r>
      <w:r>
        <w:rPr>
          <w:rFonts w:ascii="Times New Roman" w:hAnsi="Times New Roman" w:cs="Times New Roman"/>
        </w:rPr>
        <w:tab/>
        <w:t xml:space="preserve">                                                                                                    тыс.рублей</w:t>
      </w:r>
    </w:p>
    <w:tbl>
      <w:tblPr>
        <w:tblW w:w="9290" w:type="dxa"/>
        <w:tblLayout w:type="fixed"/>
        <w:tblLook w:val="01E0" w:firstRow="1" w:lastRow="1" w:firstColumn="1" w:lastColumn="1" w:noHBand="0" w:noVBand="0"/>
      </w:tblPr>
      <w:tblGrid>
        <w:gridCol w:w="688"/>
        <w:gridCol w:w="2662"/>
        <w:gridCol w:w="1801"/>
        <w:gridCol w:w="1619"/>
        <w:gridCol w:w="1440"/>
        <w:gridCol w:w="1080"/>
      </w:tblGrid>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spacing w:after="0"/>
              <w:jc w:val="center"/>
              <w:rPr>
                <w:rFonts w:ascii="Times New Roman" w:hAnsi="Times New Roman" w:cs="Times New Roman"/>
              </w:rPr>
            </w:pPr>
            <w:r>
              <w:rPr>
                <w:rFonts w:ascii="Times New Roman" w:hAnsi="Times New Roman" w:cs="Times New Roman"/>
              </w:rPr>
              <w:t>Код</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spacing w:after="0"/>
              <w:jc w:val="center"/>
              <w:rPr>
                <w:rFonts w:ascii="Times New Roman" w:eastAsia="Times New Roman" w:hAnsi="Times New Roman" w:cs="Times New Roman"/>
              </w:rPr>
            </w:pPr>
            <w:r>
              <w:rPr>
                <w:rFonts w:ascii="Times New Roman" w:hAnsi="Times New Roman" w:cs="Times New Roman"/>
              </w:rPr>
              <w:t>Наименова</w:t>
            </w:r>
          </w:p>
          <w:p w:rsidR="00B21DFF" w:rsidRDefault="008F18B2">
            <w:pPr>
              <w:widowControl w:val="0"/>
              <w:spacing w:after="0"/>
              <w:jc w:val="center"/>
              <w:rPr>
                <w:rFonts w:ascii="Times New Roman" w:hAnsi="Times New Roman" w:cs="Times New Roman"/>
              </w:rPr>
            </w:pPr>
            <w:r>
              <w:rPr>
                <w:rFonts w:ascii="Times New Roman" w:hAnsi="Times New Roman" w:cs="Times New Roman"/>
              </w:rPr>
              <w:t>ние</w:t>
            </w:r>
          </w:p>
          <w:p w:rsidR="00B21DFF" w:rsidRDefault="008F18B2">
            <w:pPr>
              <w:widowControl w:val="0"/>
              <w:spacing w:after="0"/>
              <w:jc w:val="center"/>
              <w:rPr>
                <w:rFonts w:ascii="Times New Roman" w:hAnsi="Times New Roman" w:cs="Times New Roman"/>
              </w:rPr>
            </w:pPr>
            <w:r>
              <w:rPr>
                <w:rFonts w:ascii="Times New Roman" w:hAnsi="Times New Roman" w:cs="Times New Roman"/>
              </w:rPr>
              <w:t>муниципаль</w:t>
            </w:r>
          </w:p>
          <w:p w:rsidR="00B21DFF" w:rsidRDefault="008F18B2">
            <w:pPr>
              <w:widowControl w:val="0"/>
              <w:spacing w:after="0"/>
              <w:jc w:val="center"/>
              <w:rPr>
                <w:rFonts w:ascii="Times New Roman" w:hAnsi="Times New Roman" w:cs="Times New Roman"/>
              </w:rPr>
            </w:pPr>
            <w:r>
              <w:rPr>
                <w:rFonts w:ascii="Times New Roman" w:hAnsi="Times New Roman" w:cs="Times New Roman"/>
              </w:rPr>
              <w:lastRenderedPageBreak/>
              <w:t>ной</w:t>
            </w:r>
          </w:p>
          <w:p w:rsidR="00B21DFF" w:rsidRDefault="008F18B2">
            <w:pPr>
              <w:widowControl w:val="0"/>
              <w:spacing w:after="0"/>
              <w:jc w:val="center"/>
              <w:rPr>
                <w:rFonts w:ascii="Times New Roman" w:hAnsi="Times New Roman" w:cs="Times New Roman"/>
              </w:rPr>
            </w:pPr>
            <w:r>
              <w:rPr>
                <w:rFonts w:ascii="Times New Roman" w:hAnsi="Times New Roman" w:cs="Times New Roman"/>
              </w:rPr>
              <w:t>программы</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spacing w:after="0"/>
              <w:jc w:val="center"/>
              <w:rPr>
                <w:rFonts w:ascii="Times New Roman" w:eastAsia="Times New Roman" w:hAnsi="Times New Roman" w:cs="Times New Roman"/>
              </w:rPr>
            </w:pPr>
            <w:r>
              <w:rPr>
                <w:rFonts w:ascii="Times New Roman" w:hAnsi="Times New Roman" w:cs="Times New Roman"/>
              </w:rPr>
              <w:lastRenderedPageBreak/>
              <w:t>Утверж</w:t>
            </w:r>
          </w:p>
          <w:p w:rsidR="00B21DFF" w:rsidRDefault="008F18B2">
            <w:pPr>
              <w:widowControl w:val="0"/>
              <w:spacing w:after="0"/>
              <w:jc w:val="center"/>
              <w:rPr>
                <w:rFonts w:ascii="Times New Roman" w:hAnsi="Times New Roman" w:cs="Times New Roman"/>
              </w:rPr>
            </w:pPr>
            <w:r>
              <w:rPr>
                <w:rFonts w:ascii="Times New Roman" w:hAnsi="Times New Roman" w:cs="Times New Roman"/>
              </w:rPr>
              <w:t>дено на 2023 год</w:t>
            </w:r>
          </w:p>
          <w:p w:rsidR="00B21DFF" w:rsidRDefault="008F18B2">
            <w:pPr>
              <w:widowControl w:val="0"/>
              <w:spacing w:after="0"/>
              <w:ind w:right="-288"/>
              <w:jc w:val="center"/>
              <w:rPr>
                <w:rFonts w:ascii="Times New Roman" w:hAnsi="Times New Roman" w:cs="Times New Roman"/>
              </w:rPr>
            </w:pPr>
            <w:r>
              <w:rPr>
                <w:rFonts w:ascii="Times New Roman" w:hAnsi="Times New Roman" w:cs="Times New Roman"/>
              </w:rPr>
              <w:t xml:space="preserve">с учетом </w:t>
            </w:r>
            <w:r>
              <w:rPr>
                <w:rFonts w:ascii="Times New Roman" w:hAnsi="Times New Roman" w:cs="Times New Roman"/>
              </w:rPr>
              <w:lastRenderedPageBreak/>
              <w:t>изменений</w:t>
            </w:r>
          </w:p>
          <w:p w:rsidR="00B21DFF" w:rsidRDefault="00B21DFF">
            <w:pPr>
              <w:widowControl w:val="0"/>
              <w:spacing w:after="0"/>
              <w:jc w:val="center"/>
              <w:rPr>
                <w:rFonts w:ascii="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spacing w:after="0"/>
              <w:jc w:val="center"/>
              <w:rPr>
                <w:rFonts w:ascii="Times New Roman" w:hAnsi="Times New Roman" w:cs="Times New Roman"/>
              </w:rPr>
            </w:pPr>
            <w:r>
              <w:rPr>
                <w:rFonts w:ascii="Times New Roman" w:hAnsi="Times New Roman" w:cs="Times New Roman"/>
              </w:rPr>
              <w:lastRenderedPageBreak/>
              <w:t>Исполнено</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spacing w:after="0"/>
              <w:jc w:val="center"/>
              <w:rPr>
                <w:rFonts w:ascii="Times New Roman" w:hAnsi="Times New Roman" w:cs="Times New Roman"/>
              </w:rPr>
            </w:pPr>
            <w:r>
              <w:rPr>
                <w:rFonts w:ascii="Times New Roman" w:hAnsi="Times New Roman" w:cs="Times New Roman"/>
              </w:rPr>
              <w:t>Отклонения</w:t>
            </w:r>
          </w:p>
          <w:p w:rsidR="00B21DFF" w:rsidRDefault="008F18B2">
            <w:pPr>
              <w:widowControl w:val="0"/>
              <w:spacing w:after="0"/>
              <w:jc w:val="center"/>
              <w:rPr>
                <w:rFonts w:ascii="Times New Roman" w:hAnsi="Times New Roman" w:cs="Times New Roman"/>
              </w:rPr>
            </w:pPr>
            <w:r>
              <w:rPr>
                <w:rFonts w:ascii="Times New Roman" w:hAnsi="Times New Roman" w:cs="Times New Roman"/>
              </w:rPr>
              <w:t>(+);</w:t>
            </w:r>
          </w:p>
          <w:p w:rsidR="00B21DFF" w:rsidRDefault="008F18B2">
            <w:pPr>
              <w:widowControl w:val="0"/>
              <w:spacing w:after="0"/>
              <w:jc w:val="center"/>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spacing w:after="0"/>
              <w:jc w:val="center"/>
              <w:rPr>
                <w:rFonts w:ascii="Times New Roman" w:hAnsi="Times New Roman" w:cs="Times New Roman"/>
              </w:rPr>
            </w:pPr>
            <w:r>
              <w:rPr>
                <w:rFonts w:ascii="Times New Roman" w:hAnsi="Times New Roman" w:cs="Times New Roman"/>
              </w:rPr>
              <w:t>% исполнения</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«Управление муниципальными финансами Акбулакского района Оренбургской области»</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113988,3</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113975,8</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-12,5</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99,9</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2</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Комплексные меры по созданию условий для оказания медицинской помощи населению на территории  Акбулакского района »</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2235,6</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ind w:firstLine="230"/>
              <w:jc w:val="center"/>
              <w:rPr>
                <w:rFonts w:ascii="Times New Roman" w:hAnsi="Times New Roman" w:cs="Times New Roman"/>
              </w:rPr>
            </w:pPr>
            <w:r>
              <w:rPr>
                <w:rFonts w:ascii="Times New Roman" w:hAnsi="Times New Roman" w:cs="Times New Roman"/>
              </w:rPr>
              <w:t>2235,6</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100,0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3</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b/>
                <w:bCs/>
                <w:color w:val="000000"/>
              </w:rPr>
            </w:pPr>
            <w:r>
              <w:rPr>
                <w:rFonts w:ascii="Times New Roman" w:hAnsi="Times New Roman" w:cs="Times New Roman"/>
                <w:bCs/>
                <w:color w:val="000000"/>
              </w:rPr>
              <w:t>Муниципальная программа "Повышение эффективности деятельности администрации муниципального образования Акбулакский район</w:t>
            </w:r>
            <w:r>
              <w:rPr>
                <w:rFonts w:ascii="Times New Roman" w:hAnsi="Times New Roman" w:cs="Times New Roman"/>
                <w:b/>
                <w:bCs/>
                <w:color w:val="000000"/>
              </w:rPr>
              <w:t>"</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46957,8</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ind w:firstLine="230"/>
              <w:jc w:val="center"/>
              <w:rPr>
                <w:rFonts w:ascii="Times New Roman" w:hAnsi="Times New Roman" w:cs="Times New Roman"/>
              </w:rPr>
            </w:pPr>
            <w:r>
              <w:rPr>
                <w:rFonts w:ascii="Times New Roman" w:hAnsi="Times New Roman" w:cs="Times New Roman"/>
              </w:rPr>
              <w:t>45295,7</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-1662,1</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96,5</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4</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 Акбулакского района»</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7716,3</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6908,1</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-808,2</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89,5</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5</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«Экономическое развитие Акбулакского района»</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4684,8</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4684,8</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100,00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«Управление земельно-имущественным комплексом на территории Акбулакского района»</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1167,5</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1144,5</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-23,0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98,0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7</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«Развитие физической культуры, спорта и туризма в Акбулакском районе на 2015-2020 годы</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17215,5</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17120,9</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-94,6</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99,5</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8</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 xml:space="preserve">«Развитие культуры Акбулакского района на </w:t>
            </w:r>
            <w:r>
              <w:rPr>
                <w:rFonts w:ascii="Times New Roman" w:hAnsi="Times New Roman" w:cs="Times New Roman"/>
              </w:rPr>
              <w:lastRenderedPageBreak/>
              <w:t>2015-2020 годы</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lastRenderedPageBreak/>
              <w:t>68129,9</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68045,0</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-84,9</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99,9</w:t>
            </w:r>
          </w:p>
        </w:tc>
      </w:tr>
      <w:tr w:rsidR="00B21DFF">
        <w:trPr>
          <w:trHeight w:val="1739"/>
        </w:trPr>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«Развитие молодежной политики в Акбулакском районе»</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9816,7</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9816,4</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100,0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10</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«Развитие системы образования Акбулакского района Оренбургской области»</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610475,2</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603798,9</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-6676,3</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98,9</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11</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«Стимулирование развития  жилищного строительства в муниципальном образовании Акбулакский район »</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17179,2</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17177,1</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-2,1</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99,9</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12</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Муниципальная программа «Поддержка социально ориентированных общественных организаций Акбулакского района на 2023-2030 годы»</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463,9</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463,9</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100,0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13</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«Безопасный район  на 2017-2020 годы»</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6539,0</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6474,2</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-64,8</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99,0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14</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«Гармонизация межнациональных отношений в муниципальном образовании Акбулакский район »</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rPr>
                <w:rFonts w:ascii="Times New Roman" w:hAnsi="Times New Roman" w:cs="Times New Roman"/>
              </w:rPr>
            </w:pPr>
            <w:r>
              <w:rPr>
                <w:rFonts w:ascii="Times New Roman" w:hAnsi="Times New Roman" w:cs="Times New Roman"/>
              </w:rPr>
              <w:t>0,00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B21DFF">
            <w:pPr>
              <w:widowControl w:val="0"/>
              <w:spacing w:after="0"/>
            </w:pPr>
          </w:p>
        </w:tc>
        <w:tc>
          <w:tcPr>
            <w:tcW w:w="2662" w:type="dxa"/>
            <w:tcBorders>
              <w:top w:val="single" w:sz="4" w:space="0" w:color="000000"/>
              <w:left w:val="single" w:sz="4" w:space="0" w:color="000000"/>
              <w:bottom w:val="single" w:sz="4" w:space="0" w:color="000000"/>
              <w:right w:val="single" w:sz="4" w:space="0" w:color="000000"/>
            </w:tcBorders>
          </w:tcPr>
          <w:p w:rsidR="00B21DFF" w:rsidRDefault="00B21DFF">
            <w:pPr>
              <w:widowControl w:val="0"/>
              <w:spacing w:after="0"/>
            </w:pPr>
          </w:p>
        </w:tc>
        <w:tc>
          <w:tcPr>
            <w:tcW w:w="1801" w:type="dxa"/>
            <w:tcBorders>
              <w:top w:val="single" w:sz="4" w:space="0" w:color="000000"/>
              <w:left w:val="single" w:sz="4" w:space="0" w:color="000000"/>
              <w:bottom w:val="single" w:sz="4" w:space="0" w:color="000000"/>
              <w:right w:val="single" w:sz="4" w:space="0" w:color="000000"/>
            </w:tcBorders>
          </w:tcPr>
          <w:p w:rsidR="00B21DFF" w:rsidRDefault="00B21DFF">
            <w:pPr>
              <w:widowControl w:val="0"/>
              <w:spacing w:after="0"/>
            </w:pPr>
          </w:p>
        </w:tc>
        <w:tc>
          <w:tcPr>
            <w:tcW w:w="1619" w:type="dxa"/>
            <w:tcBorders>
              <w:top w:val="single" w:sz="4" w:space="0" w:color="000000"/>
              <w:left w:val="single" w:sz="4" w:space="0" w:color="000000"/>
              <w:bottom w:val="single" w:sz="4" w:space="0" w:color="000000"/>
              <w:right w:val="single" w:sz="4" w:space="0" w:color="000000"/>
            </w:tcBorders>
          </w:tcPr>
          <w:p w:rsidR="00B21DFF" w:rsidRDefault="00B21DFF">
            <w:pPr>
              <w:widowControl w:val="0"/>
              <w:spacing w:after="0"/>
            </w:pPr>
          </w:p>
        </w:tc>
        <w:tc>
          <w:tcPr>
            <w:tcW w:w="1440" w:type="dxa"/>
            <w:tcBorders>
              <w:top w:val="single" w:sz="4" w:space="0" w:color="000000"/>
              <w:left w:val="single" w:sz="4" w:space="0" w:color="000000"/>
              <w:bottom w:val="single" w:sz="4" w:space="0" w:color="000000"/>
              <w:right w:val="single" w:sz="4" w:space="0" w:color="000000"/>
            </w:tcBorders>
          </w:tcPr>
          <w:p w:rsidR="00B21DFF" w:rsidRDefault="00B21DFF">
            <w:pPr>
              <w:widowControl w:val="0"/>
              <w:spacing w:after="0"/>
            </w:pPr>
          </w:p>
        </w:tc>
        <w:tc>
          <w:tcPr>
            <w:tcW w:w="1080" w:type="dxa"/>
            <w:tcBorders>
              <w:top w:val="single" w:sz="4" w:space="0" w:color="000000"/>
              <w:left w:val="single" w:sz="4" w:space="0" w:color="000000"/>
              <w:bottom w:val="single" w:sz="4" w:space="0" w:color="000000"/>
              <w:right w:val="single" w:sz="4" w:space="0" w:color="000000"/>
            </w:tcBorders>
          </w:tcPr>
          <w:p w:rsidR="00B21DFF" w:rsidRDefault="00B21DFF">
            <w:pPr>
              <w:widowControl w:val="0"/>
              <w:spacing w:after="0"/>
            </w:pP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15</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rPr>
                <w:rFonts w:ascii="Times New Roman" w:hAnsi="Times New Roman" w:cs="Times New Roman"/>
              </w:rPr>
            </w:pPr>
            <w:r>
              <w:rPr>
                <w:rFonts w:ascii="Times New Roman" w:hAnsi="Times New Roman" w:cs="Times New Roman"/>
              </w:rPr>
              <w:t>Противодействие коррупции в муниципальном образовании Акбулакский район</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10,0</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9,6</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-0,4</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96,0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16</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rPr>
                <w:rFonts w:ascii="Times New Roman" w:hAnsi="Times New Roman" w:cs="Times New Roman"/>
              </w:rPr>
            </w:pPr>
            <w:r>
              <w:rPr>
                <w:rFonts w:ascii="Times New Roman" w:hAnsi="Times New Roman" w:cs="Times New Roman"/>
              </w:rPr>
              <w:t xml:space="preserve">Энергосбережение и повышение энергетической эффективности в  муниципальном </w:t>
            </w:r>
            <w:r>
              <w:rPr>
                <w:rFonts w:ascii="Times New Roman" w:hAnsi="Times New Roman" w:cs="Times New Roman"/>
              </w:rPr>
              <w:lastRenderedPageBreak/>
              <w:t>образовании Акбулакский район</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lastRenderedPageBreak/>
              <w:t>0,00</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17</w:t>
            </w: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rPr>
                <w:rFonts w:ascii="Times New Roman" w:hAnsi="Times New Roman" w:cs="Times New Roman"/>
              </w:rPr>
            </w:pPr>
            <w:r>
              <w:rPr>
                <w:rFonts w:ascii="Times New Roman" w:hAnsi="Times New Roman" w:cs="Times New Roman"/>
              </w:rPr>
              <w:t>Укрепление общественного здоровья в Акбулакском районе на 2023-2030 годы»</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0,00</w:t>
            </w:r>
          </w:p>
        </w:tc>
      </w:tr>
      <w:tr w:rsidR="00B21DFF">
        <w:tc>
          <w:tcPr>
            <w:tcW w:w="687" w:type="dxa"/>
            <w:tcBorders>
              <w:top w:val="single" w:sz="4" w:space="0" w:color="000000"/>
              <w:left w:val="single" w:sz="4" w:space="0" w:color="000000"/>
              <w:bottom w:val="single" w:sz="4" w:space="0" w:color="000000"/>
              <w:right w:val="single" w:sz="4" w:space="0" w:color="000000"/>
            </w:tcBorders>
          </w:tcPr>
          <w:p w:rsidR="00B21DFF" w:rsidRDefault="00B21DFF">
            <w:pPr>
              <w:widowControl w:val="0"/>
              <w:jc w:val="center"/>
              <w:rPr>
                <w:rFonts w:ascii="Times New Roman" w:hAnsi="Times New Roman" w:cs="Times New Roman"/>
              </w:rPr>
            </w:pPr>
          </w:p>
        </w:tc>
        <w:tc>
          <w:tcPr>
            <w:tcW w:w="2662"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Итого</w:t>
            </w:r>
          </w:p>
        </w:tc>
        <w:tc>
          <w:tcPr>
            <w:tcW w:w="1801"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906579,7</w:t>
            </w:r>
          </w:p>
        </w:tc>
        <w:tc>
          <w:tcPr>
            <w:tcW w:w="1619"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897150,5</w:t>
            </w:r>
          </w:p>
        </w:tc>
        <w:tc>
          <w:tcPr>
            <w:tcW w:w="144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-9429,2</w:t>
            </w:r>
          </w:p>
        </w:tc>
        <w:tc>
          <w:tcPr>
            <w:tcW w:w="1080" w:type="dxa"/>
            <w:tcBorders>
              <w:top w:val="single" w:sz="4" w:space="0" w:color="000000"/>
              <w:left w:val="single" w:sz="4" w:space="0" w:color="000000"/>
              <w:bottom w:val="single" w:sz="4" w:space="0" w:color="000000"/>
              <w:right w:val="single" w:sz="4" w:space="0" w:color="000000"/>
            </w:tcBorders>
          </w:tcPr>
          <w:p w:rsidR="00B21DFF" w:rsidRDefault="008F18B2">
            <w:pPr>
              <w:widowControl w:val="0"/>
              <w:jc w:val="center"/>
              <w:rPr>
                <w:rFonts w:ascii="Times New Roman" w:hAnsi="Times New Roman" w:cs="Times New Roman"/>
              </w:rPr>
            </w:pPr>
            <w:r>
              <w:rPr>
                <w:rFonts w:ascii="Times New Roman" w:hAnsi="Times New Roman" w:cs="Times New Roman"/>
              </w:rPr>
              <w:t>99,0</w:t>
            </w:r>
          </w:p>
        </w:tc>
      </w:tr>
    </w:tbl>
    <w:p w:rsidR="00B21DFF" w:rsidRDefault="00B21DFF">
      <w:pPr>
        <w:jc w:val="both"/>
        <w:rPr>
          <w:rFonts w:ascii="Times New Roman" w:hAnsi="Times New Roman" w:cs="Times New Roman"/>
          <w:b/>
        </w:rPr>
      </w:pPr>
    </w:p>
    <w:p w:rsidR="00B21DFF" w:rsidRDefault="008F18B2">
      <w:pPr>
        <w:jc w:val="both"/>
        <w:rPr>
          <w:rFonts w:ascii="Times New Roman" w:hAnsi="Times New Roman" w:cs="Times New Roman"/>
          <w:sz w:val="20"/>
        </w:rPr>
      </w:pPr>
      <w:r>
        <w:rPr>
          <w:rFonts w:ascii="Times New Roman" w:hAnsi="Times New Roman" w:cs="Times New Roman"/>
          <w:b/>
        </w:rPr>
        <w:tab/>
      </w:r>
      <w:r>
        <w:rPr>
          <w:rFonts w:ascii="Times New Roman" w:hAnsi="Times New Roman" w:cs="Times New Roman"/>
        </w:rPr>
        <w:t>От  утвержденных расходов по программам   в размере 906579,7 тыс.рублей, исполнение составило 897150,5 тыс.рублей или 99,0% , неисполнение в размере 9429,2 тыс.рублей,  Три муниципальных программы: «Гармонизация межнациональных отношений в муниципальном образовании Акбулакский район»,  «Укрепление общественного здоровья в  Акбулакском районе»,  «Энергосбережение и повышение энергетической эффективности в муниципальном образовании Акбулакский район на 2023-2030 годы» с нулевыми значениями.</w:t>
      </w:r>
    </w:p>
    <w:p w:rsidR="00B21DFF" w:rsidRDefault="00B21DFF">
      <w:pPr>
        <w:jc w:val="both"/>
        <w:rPr>
          <w:rFonts w:ascii="Times New Roman" w:hAnsi="Times New Roman" w:cs="Times New Roman"/>
          <w:sz w:val="20"/>
        </w:rPr>
      </w:pPr>
    </w:p>
    <w:p w:rsidR="00B21DFF" w:rsidRDefault="00B21DFF">
      <w:pPr>
        <w:jc w:val="both"/>
        <w:rPr>
          <w:rFonts w:ascii="Times New Roman" w:hAnsi="Times New Roman" w:cs="Times New Roman"/>
          <w:sz w:val="20"/>
        </w:rPr>
      </w:pPr>
    </w:p>
    <w:p w:rsidR="00B21DFF" w:rsidRDefault="008F18B2">
      <w:pPr>
        <w:spacing w:after="0"/>
        <w:rPr>
          <w:rFonts w:ascii="Times New Roman" w:hAnsi="Times New Roman" w:cs="Times New Roman"/>
          <w:sz w:val="24"/>
          <w:szCs w:val="28"/>
        </w:rPr>
      </w:pPr>
      <w:r>
        <w:rPr>
          <w:rFonts w:ascii="Times New Roman" w:hAnsi="Times New Roman" w:cs="Times New Roman"/>
          <w:sz w:val="24"/>
          <w:szCs w:val="28"/>
        </w:rPr>
        <w:t xml:space="preserve">Председатель Контрольно-счетной </w:t>
      </w:r>
    </w:p>
    <w:p w:rsidR="00B21DFF" w:rsidRDefault="008F18B2">
      <w:pPr>
        <w:spacing w:after="0"/>
        <w:rPr>
          <w:rFonts w:ascii="Times New Roman" w:hAnsi="Times New Roman" w:cs="Times New Roman"/>
          <w:sz w:val="28"/>
          <w:szCs w:val="28"/>
        </w:rPr>
      </w:pPr>
      <w:r>
        <w:rPr>
          <w:rFonts w:ascii="Times New Roman" w:hAnsi="Times New Roman" w:cs="Times New Roman"/>
          <w:sz w:val="24"/>
          <w:szCs w:val="28"/>
        </w:rPr>
        <w:t xml:space="preserve">палаты </w:t>
      </w:r>
      <w:r>
        <w:rPr>
          <w:rFonts w:ascii="Times New Roman" w:hAnsi="Times New Roman" w:cs="Times New Roman"/>
          <w:sz w:val="28"/>
          <w:szCs w:val="28"/>
        </w:rPr>
        <w:t>муниципального образования</w:t>
      </w:r>
    </w:p>
    <w:p w:rsidR="00B21DFF" w:rsidRDefault="008F18B2">
      <w:pPr>
        <w:spacing w:after="0"/>
        <w:rPr>
          <w:rFonts w:ascii="Times New Roman" w:hAnsi="Times New Roman" w:cs="Times New Roman"/>
          <w:sz w:val="28"/>
          <w:szCs w:val="28"/>
        </w:rPr>
      </w:pPr>
      <w:r>
        <w:rPr>
          <w:rFonts w:ascii="Times New Roman" w:hAnsi="Times New Roman" w:cs="Times New Roman"/>
          <w:sz w:val="28"/>
          <w:szCs w:val="28"/>
        </w:rPr>
        <w:t xml:space="preserve">Акбулакский район                                                                    А.Ф.Щербаненко                                                                             </w:t>
      </w:r>
      <w:bookmarkStart w:id="0" w:name="_GoBack"/>
      <w:bookmarkEnd w:id="0"/>
    </w:p>
    <w:p w:rsidR="00B21DFF" w:rsidRDefault="00B21DFF">
      <w:pPr>
        <w:pStyle w:val="a9"/>
        <w:ind w:left="1416" w:firstLine="708"/>
        <w:rPr>
          <w:sz w:val="16"/>
          <w:szCs w:val="16"/>
        </w:rPr>
      </w:pPr>
    </w:p>
    <w:p w:rsidR="00B21DFF" w:rsidRDefault="00B21DFF">
      <w:pPr>
        <w:rPr>
          <w:rFonts w:ascii="Times New Roman" w:hAnsi="Times New Roman" w:cs="Times New Roman"/>
          <w:sz w:val="28"/>
          <w:szCs w:val="28"/>
        </w:rPr>
      </w:pPr>
    </w:p>
    <w:p w:rsidR="00B21DFF" w:rsidRDefault="00B21DFF">
      <w:pPr>
        <w:rPr>
          <w:rFonts w:ascii="Times New Roman" w:hAnsi="Times New Roman" w:cs="Times New Roman"/>
          <w:sz w:val="28"/>
          <w:szCs w:val="28"/>
        </w:rPr>
      </w:pPr>
    </w:p>
    <w:p w:rsidR="00B21DFF" w:rsidRDefault="008F18B2">
      <w:pPr>
        <w:tabs>
          <w:tab w:val="left" w:pos="7200"/>
          <w:tab w:val="left" w:pos="7380"/>
        </w:tabs>
      </w:pPr>
      <w:r>
        <w:rPr>
          <w:rFonts w:ascii="Times New Roman" w:hAnsi="Times New Roman" w:cs="Times New Roman"/>
          <w:sz w:val="28"/>
          <w:szCs w:val="28"/>
        </w:rPr>
        <w:t xml:space="preserve">                                                                      </w:t>
      </w:r>
    </w:p>
    <w:p w:rsidR="00B21DFF" w:rsidRDefault="00B21DFF">
      <w:pPr>
        <w:tabs>
          <w:tab w:val="left" w:pos="-426"/>
        </w:tabs>
        <w:spacing w:after="0"/>
        <w:jc w:val="both"/>
        <w:rPr>
          <w:rFonts w:ascii="Times New Roman" w:hAnsi="Times New Roman" w:cs="Times New Roman"/>
          <w:sz w:val="28"/>
          <w:szCs w:val="28"/>
        </w:rPr>
      </w:pPr>
    </w:p>
    <w:p w:rsidR="00B21DFF" w:rsidRDefault="00B21DFF"/>
    <w:p w:rsidR="00B21DFF" w:rsidRDefault="00B21DFF"/>
    <w:p w:rsidR="00B21DFF" w:rsidRDefault="00B21DFF"/>
    <w:p w:rsidR="00B21DFF" w:rsidRDefault="00B21DFF"/>
    <w:p w:rsidR="00B21DFF" w:rsidRDefault="00B21DFF"/>
    <w:p w:rsidR="00B21DFF" w:rsidRDefault="00B21DFF"/>
    <w:p w:rsidR="00B21DFF" w:rsidRDefault="00B21DFF"/>
    <w:p w:rsidR="00B21DFF" w:rsidRDefault="00B21DFF"/>
    <w:p w:rsidR="00B21DFF" w:rsidRDefault="00B21DFF"/>
    <w:p w:rsidR="00B21DFF" w:rsidRDefault="00B21DFF"/>
    <w:sectPr w:rsidR="00B21DFF">
      <w:footerReference w:type="default" r:id="rId11"/>
      <w:pgSz w:w="11906" w:h="16838"/>
      <w:pgMar w:top="1134" w:right="850"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6A" w:rsidRDefault="00A36A6A">
      <w:pPr>
        <w:spacing w:after="0" w:line="240" w:lineRule="auto"/>
      </w:pPr>
      <w:r>
        <w:separator/>
      </w:r>
    </w:p>
  </w:endnote>
  <w:endnote w:type="continuationSeparator" w:id="0">
    <w:p w:rsidR="00A36A6A" w:rsidRDefault="00A3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20587"/>
      <w:docPartObj>
        <w:docPartGallery w:val="Page Numbers (Bottom of Page)"/>
        <w:docPartUnique/>
      </w:docPartObj>
    </w:sdtPr>
    <w:sdtEndPr/>
    <w:sdtContent>
      <w:p w:rsidR="00B21DFF" w:rsidRDefault="008F18B2">
        <w:pPr>
          <w:pStyle w:val="a7"/>
          <w:jc w:val="right"/>
        </w:pPr>
        <w:r>
          <w:fldChar w:fldCharType="begin"/>
        </w:r>
        <w:r>
          <w:instrText xml:space="preserve"> PAGE </w:instrText>
        </w:r>
        <w:r>
          <w:fldChar w:fldCharType="separate"/>
        </w:r>
        <w:r w:rsidR="008A3955">
          <w:rPr>
            <w:noProof/>
          </w:rPr>
          <w:t>26</w:t>
        </w:r>
        <w:r>
          <w:fldChar w:fldCharType="end"/>
        </w:r>
      </w:p>
    </w:sdtContent>
  </w:sdt>
  <w:p w:rsidR="00B21DFF" w:rsidRDefault="00B21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6A" w:rsidRDefault="00A36A6A">
      <w:pPr>
        <w:spacing w:after="0" w:line="240" w:lineRule="auto"/>
      </w:pPr>
      <w:r>
        <w:separator/>
      </w:r>
    </w:p>
  </w:footnote>
  <w:footnote w:type="continuationSeparator" w:id="0">
    <w:p w:rsidR="00A36A6A" w:rsidRDefault="00A36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21FC"/>
    <w:multiLevelType w:val="multilevel"/>
    <w:tmpl w:val="D99AA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F53E42"/>
    <w:multiLevelType w:val="multilevel"/>
    <w:tmpl w:val="796483F8"/>
    <w:lvl w:ilvl="0">
      <w:start w:val="1"/>
      <w:numFmt w:val="decimal"/>
      <w:lvlText w:val="%1."/>
      <w:lvlJc w:val="left"/>
      <w:pPr>
        <w:tabs>
          <w:tab w:val="num" w:pos="0"/>
        </w:tabs>
        <w:ind w:left="36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FF"/>
    <w:rsid w:val="007A30FF"/>
    <w:rsid w:val="008A3955"/>
    <w:rsid w:val="008F18B2"/>
    <w:rsid w:val="00A36A6A"/>
    <w:rsid w:val="00B21D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1D3B"/>
  <w15:docId w15:val="{79CFADCF-697E-442E-8F2D-7521C5D6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7E9"/>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F27E9"/>
    <w:rPr>
      <w:color w:val="0000FF"/>
      <w:u w:val="single"/>
    </w:rPr>
  </w:style>
  <w:style w:type="character" w:customStyle="1" w:styleId="a4">
    <w:name w:val="Верхний колонтитул Знак"/>
    <w:basedOn w:val="a0"/>
    <w:link w:val="a5"/>
    <w:uiPriority w:val="99"/>
    <w:qFormat/>
    <w:rsid w:val="000666D9"/>
    <w:rPr>
      <w:rFonts w:eastAsiaTheme="minorEastAsia"/>
      <w:lang w:eastAsia="ru-RU"/>
    </w:rPr>
  </w:style>
  <w:style w:type="character" w:customStyle="1" w:styleId="a6">
    <w:name w:val="Нижний колонтитул Знак"/>
    <w:basedOn w:val="a0"/>
    <w:link w:val="a7"/>
    <w:uiPriority w:val="99"/>
    <w:qFormat/>
    <w:rsid w:val="000666D9"/>
    <w:rPr>
      <w:rFonts w:eastAsiaTheme="minorEastAsia"/>
      <w:lang w:eastAsia="ru-RU"/>
    </w:rPr>
  </w:style>
  <w:style w:type="character" w:customStyle="1" w:styleId="a8">
    <w:name w:val="Основной текст Знак"/>
    <w:basedOn w:val="a0"/>
    <w:link w:val="a9"/>
    <w:uiPriority w:val="99"/>
    <w:qFormat/>
    <w:rsid w:val="007B3A0E"/>
    <w:rPr>
      <w:rFonts w:ascii="Times New Roman" w:eastAsia="Times New Roman" w:hAnsi="Times New Roman" w:cs="Times New Roman"/>
      <w:sz w:val="28"/>
      <w:szCs w:val="28"/>
      <w:lang w:eastAsia="ru-RU"/>
    </w:rPr>
  </w:style>
  <w:style w:type="character" w:customStyle="1" w:styleId="aa">
    <w:name w:val="Текст выноски Знак"/>
    <w:basedOn w:val="a0"/>
    <w:link w:val="ab"/>
    <w:uiPriority w:val="99"/>
    <w:semiHidden/>
    <w:qFormat/>
    <w:rsid w:val="00FB11EE"/>
    <w:rPr>
      <w:rFonts w:ascii="Tahoma" w:eastAsiaTheme="minorEastAsia" w:hAnsi="Tahoma" w:cs="Tahoma"/>
      <w:sz w:val="16"/>
      <w:szCs w:val="16"/>
      <w:lang w:eastAsia="ru-RU"/>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link w:val="a8"/>
    <w:uiPriority w:val="99"/>
    <w:rsid w:val="007B3A0E"/>
    <w:pPr>
      <w:widowControl w:val="0"/>
      <w:spacing w:after="0" w:line="240" w:lineRule="auto"/>
      <w:jc w:val="both"/>
    </w:pPr>
    <w:rPr>
      <w:rFonts w:ascii="Times New Roman" w:eastAsia="Times New Roman" w:hAnsi="Times New Roman" w:cs="Times New Roman"/>
      <w:sz w:val="28"/>
      <w:szCs w:val="28"/>
    </w:rPr>
  </w:style>
  <w:style w:type="paragraph" w:styleId="ac">
    <w:name w:val="List"/>
    <w:basedOn w:val="a9"/>
  </w:style>
  <w:style w:type="paragraph" w:styleId="a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HeaderandFooter">
    <w:name w:val="Header and Footer"/>
    <w:basedOn w:val="a"/>
    <w:qFormat/>
  </w:style>
  <w:style w:type="paragraph" w:styleId="a5">
    <w:name w:val="header"/>
    <w:basedOn w:val="a"/>
    <w:link w:val="a4"/>
    <w:uiPriority w:val="99"/>
    <w:unhideWhenUsed/>
    <w:rsid w:val="000666D9"/>
    <w:pPr>
      <w:tabs>
        <w:tab w:val="center" w:pos="4677"/>
        <w:tab w:val="right" w:pos="9355"/>
      </w:tabs>
      <w:spacing w:after="0" w:line="240" w:lineRule="auto"/>
    </w:pPr>
  </w:style>
  <w:style w:type="paragraph" w:styleId="a7">
    <w:name w:val="footer"/>
    <w:basedOn w:val="a"/>
    <w:link w:val="a6"/>
    <w:uiPriority w:val="99"/>
    <w:unhideWhenUsed/>
    <w:rsid w:val="000666D9"/>
    <w:pPr>
      <w:tabs>
        <w:tab w:val="center" w:pos="4677"/>
        <w:tab w:val="right" w:pos="9355"/>
      </w:tabs>
      <w:spacing w:after="0" w:line="240" w:lineRule="auto"/>
    </w:pPr>
  </w:style>
  <w:style w:type="paragraph" w:styleId="ae">
    <w:name w:val="List Paragraph"/>
    <w:basedOn w:val="a"/>
    <w:uiPriority w:val="34"/>
    <w:qFormat/>
    <w:rsid w:val="007B3A0E"/>
    <w:pPr>
      <w:ind w:left="720"/>
      <w:contextualSpacing/>
    </w:pPr>
  </w:style>
  <w:style w:type="paragraph" w:styleId="ab">
    <w:name w:val="Balloon Text"/>
    <w:basedOn w:val="a"/>
    <w:link w:val="aa"/>
    <w:uiPriority w:val="99"/>
    <w:semiHidden/>
    <w:unhideWhenUsed/>
    <w:qFormat/>
    <w:rsid w:val="00FB11EE"/>
    <w:pPr>
      <w:spacing w:after="0" w:line="240" w:lineRule="auto"/>
    </w:pPr>
    <w:rPr>
      <w:rFonts w:ascii="Tahoma" w:hAnsi="Tahoma" w:cs="Tahoma"/>
      <w:sz w:val="16"/>
      <w:szCs w:val="16"/>
    </w:rPr>
  </w:style>
  <w:style w:type="table" w:styleId="af">
    <w:name w:val="Table Grid"/>
    <w:basedOn w:val="a1"/>
    <w:uiPriority w:val="59"/>
    <w:rsid w:val="007F27E9"/>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spakbul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DC1C-492F-48F7-AA07-348BEF52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8575</Words>
  <Characters>48880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Number_53</cp:lastModifiedBy>
  <cp:revision>3</cp:revision>
  <cp:lastPrinted>2024-04-15T06:03:00Z</cp:lastPrinted>
  <dcterms:created xsi:type="dcterms:W3CDTF">2024-04-26T05:00:00Z</dcterms:created>
  <dcterms:modified xsi:type="dcterms:W3CDTF">2024-04-27T05:37:00Z</dcterms:modified>
  <dc:language>ru-RU</dc:language>
</cp:coreProperties>
</file>